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Сводный отчет</w:t>
        <w:br/>
        <w:t xml:space="preserve">о результатах проведения оценки регулирующего воздействия</w:t>
        <w:br/>
        <w:t xml:space="preserve">проекта нормативного правового акта</w:t>
      </w:r>
      <w:r/>
    </w:p>
    <w:p>
      <w:pPr>
        <w:pStyle w:val="616"/>
        <w:ind w:firstLine="709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/>
    </w:p>
    <w:p>
      <w:pPr>
        <w:pStyle w:val="616"/>
        <w:contextualSpacing/>
        <w:ind w:firstLine="709"/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 Орган-разработчик (инициатор проекта закона Белгородской области):</w:t>
      </w:r>
      <w:r/>
    </w:p>
    <w:p>
      <w:pPr>
        <w:pStyle w:val="616"/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Департамент</w:t>
      </w:r>
      <w:r>
        <w:rPr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развития отраслей сельского хозяйства министерства сельского хозяйства и продовольствия Белгородской области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 Вид и наименование проекта нормативного правового акта:</w:t>
      </w:r>
      <w:r/>
    </w:p>
    <w:p>
      <w:pPr>
        <w:pStyle w:val="616"/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  <w:br/>
        <w:t xml:space="preserve">«О </w:t>
      </w:r>
      <w:r>
        <w:rPr>
          <w:rFonts w:eastAsia="Calibri"/>
          <w:i/>
          <w:sz w:val="28"/>
          <w:szCs w:val="28"/>
          <w:u w:val="single"/>
        </w:rPr>
        <w:t xml:space="preserve">внесении изменений в постановление Правительства Белгородской области от 13 марта 2023 года № 138-пп</w:t>
      </w:r>
      <w:r>
        <w:rPr>
          <w:rFonts w:eastAsia="Calibri"/>
          <w:i/>
          <w:sz w:val="28"/>
          <w:szCs w:val="28"/>
          <w:u w:val="single"/>
        </w:rPr>
        <w:t xml:space="preserve">»</w:t>
      </w:r>
      <w:r/>
    </w:p>
    <w:p>
      <w:pPr>
        <w:pStyle w:val="61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>
        <w:rPr>
          <w:sz w:val="28"/>
          <w:szCs w:val="28"/>
        </w:rPr>
        <w:t xml:space="preserve">акта: начало: «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2023 г., окончание «2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2023 г.</w:t>
      </w:r>
      <w:r/>
    </w:p>
    <w:p>
      <w:pPr>
        <w:pStyle w:val="61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1.4. Степень регулирующе</w:t>
      </w:r>
      <w:bookmarkStart w:id="0" w:name="_GoBack"/>
      <w:r/>
      <w:bookmarkEnd w:id="0"/>
      <w:r>
        <w:rPr>
          <w:sz w:val="28"/>
          <w:szCs w:val="28"/>
        </w:rPr>
        <w:t xml:space="preserve">го воздействия проекта нормативного правового акта: </w:t>
      </w:r>
      <w:r/>
    </w:p>
    <w:p>
      <w:pPr>
        <w:pStyle w:val="616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Средняя. Проект нормативного правового акта содержит положения, расширяющие ранее предусмотренный круг субъектов предпринимательской деятельности</w:t>
      </w:r>
      <w:r>
        <w:rPr>
          <w:i/>
          <w:sz w:val="28"/>
          <w:szCs w:val="28"/>
          <w:u w:val="single"/>
        </w:rPr>
        <w:t xml:space="preserve">, и изменяющие порядок предоставления мер поддержки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</w:t>
      </w:r>
      <w:r>
        <w:rPr>
          <w:i/>
          <w:sz w:val="28"/>
          <w:szCs w:val="28"/>
          <w:u w:val="single"/>
        </w:rPr>
        <w:t xml:space="preserve">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Федерации».</w:t>
      </w:r>
      <w:r/>
    </w:p>
    <w:p>
      <w:pPr>
        <w:pStyle w:val="616"/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 xml:space="preserve">(высокая/средняя/низкая, обоснование степени)</w:t>
      </w:r>
      <w:r/>
    </w:p>
    <w:p>
      <w:pPr>
        <w:pStyle w:val="61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1.5. Контактная информация исполнителя в органе-разработчике:</w:t>
      </w:r>
      <w:r/>
    </w:p>
    <w:p>
      <w:pPr>
        <w:pStyle w:val="61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>
        <w:rPr>
          <w:i/>
          <w:sz w:val="28"/>
          <w:szCs w:val="28"/>
          <w:u w:val="single"/>
          <w:lang w:eastAsia="en-US" w:bidi="en-US"/>
        </w:rPr>
        <w:t xml:space="preserve">Подгорный Александр Николаевич</w:t>
      </w:r>
      <w:r/>
    </w:p>
    <w:p>
      <w:pPr>
        <w:pStyle w:val="616"/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>
        <w:rPr>
          <w:i/>
          <w:iCs/>
          <w:sz w:val="28"/>
          <w:szCs w:val="28"/>
          <w:u w:val="single"/>
        </w:rPr>
        <w:t xml:space="preserve">заместитель </w:t>
      </w:r>
      <w:r>
        <w:rPr>
          <w:i/>
          <w:iCs/>
          <w:sz w:val="28"/>
          <w:u w:val="single"/>
        </w:rPr>
        <w:t xml:space="preserve">начальник</w:t>
      </w:r>
      <w:r>
        <w:rPr>
          <w:i/>
          <w:iCs/>
          <w:sz w:val="28"/>
          <w:u w:val="single"/>
        </w:rPr>
        <w:t xml:space="preserve">а</w:t>
      </w:r>
      <w:r>
        <w:rPr>
          <w:i/>
          <w:iCs/>
          <w:sz w:val="28"/>
          <w:u w:val="single"/>
        </w:rPr>
        <w:t xml:space="preserve"> отдела отраслей растениеводства, мелиорации и механизации департамента развития отраслей сельского хозяйства министерст</w:t>
      </w:r>
      <w:r>
        <w:rPr>
          <w:i/>
          <w:sz w:val="28"/>
          <w:u w:val="single"/>
        </w:rPr>
        <w:t xml:space="preserve">ва сельского хозяйства и продовольствия Белгородской области </w:t>
      </w:r>
      <w:r/>
    </w:p>
    <w:p>
      <w:pPr>
        <w:pStyle w:val="616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24-76-</w:t>
      </w:r>
      <w:r>
        <w:rPr>
          <w:i/>
          <w:sz w:val="28"/>
          <w:szCs w:val="28"/>
          <w:u w:val="single"/>
        </w:rPr>
        <w:t xml:space="preserve">07</w:t>
      </w:r>
      <w:r>
        <w:rPr>
          <w:sz w:val="28"/>
          <w:szCs w:val="28"/>
        </w:rPr>
        <w:t xml:space="preserve">; Адрес электронной почты: </w:t>
      </w:r>
      <w:r>
        <w:rPr>
          <w:i/>
          <w:sz w:val="28"/>
          <w:szCs w:val="28"/>
          <w:u w:val="single"/>
          <w:lang w:val="en-US"/>
        </w:rPr>
        <w:t xml:space="preserve">podgorny</w:t>
      </w:r>
      <w:r>
        <w:rPr>
          <w:i/>
          <w:sz w:val="28"/>
          <w:szCs w:val="28"/>
          <w:u w:val="single"/>
        </w:rPr>
        <w:t xml:space="preserve">@belapk.ru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pStyle w:val="616"/>
        <w:ind w:firstLine="709"/>
        <w:jc w:val="both"/>
        <w:rPr>
          <w:rFonts w:eastAsia="Calibri"/>
          <w:szCs w:val="20"/>
        </w:rPr>
      </w:pPr>
      <w:r>
        <w:rPr>
          <w:rFonts w:eastAsia="Calibri"/>
          <w:sz w:val="28"/>
          <w:szCs w:val="28"/>
        </w:rPr>
        <w:t xml:space="preserve">2.1. Проблема, на решение которой направлен предлагаемый способ правового регулирования: </w:t>
      </w:r>
      <w:r>
        <w:rPr>
          <w:rFonts w:eastAsia="Calibri"/>
          <w:i/>
          <w:iCs/>
          <w:sz w:val="28"/>
          <w:szCs w:val="28"/>
          <w:u w:val="single"/>
        </w:rPr>
        <w:t xml:space="preserve">недостаточность</w:t>
      </w:r>
      <w:r>
        <w:rPr>
          <w:rFonts w:eastAsia="Calibri"/>
          <w:i/>
          <w:sz w:val="28"/>
          <w:szCs w:val="28"/>
          <w:u w:val="single"/>
        </w:rPr>
        <w:t xml:space="preserve"> собственных средств на производство овощных культур и картофеля.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 Информация о возникновении и выявлении проблемы:</w:t>
      </w:r>
      <w:r/>
    </w:p>
    <w:p>
      <w:pPr>
        <w:pStyle w:val="616"/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мониторинг антикризисных мер в сельскохозяйственном секторе Белгородской области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pStyle w:val="616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t xml:space="preserve">- низкая обеспеченность овощами открытого грунта и картофелем населения Российской Федерации. Импортозамещение. 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 Анализ опыта иных субъектов Российской Федерации в соответствующих сферах деятельности:*</w:t>
      </w:r>
      <w:r/>
    </w:p>
    <w:p>
      <w:pPr>
        <w:pStyle w:val="61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Постановление администрации Курской области от 20 декабря 2022 г. </w:t>
        <w:br/>
        <w:t xml:space="preserve">№ 1517-па «Об утверждении Правил предоставления из областного бюджета субсидии на возмещение части затрат на поддержку производства картофеля и овощей открытого грунта»;</w:t>
      </w:r>
      <w:r/>
    </w:p>
    <w:p>
      <w:pPr>
        <w:pStyle w:val="61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</w:t>
      </w:r>
      <w:r>
        <w:rPr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Постановление Правительства Брянской области от 23 декабря 2022 г. №273 «Об утверждении Правил предоставления субсидий за</w:t>
      </w:r>
      <w:r>
        <w:rPr>
          <w:i/>
          <w:sz w:val="28"/>
          <w:szCs w:val="28"/>
          <w:u w:val="single"/>
        </w:rPr>
        <w:t xml:space="preserve"> счет средств федерального бюджета и бюджета Тамбовской области на возмещение части затрат на стимулирование увеличения производства картофеля и овощей в рамках регионального проекта «Развитие отраслей овощеводства и картофелеводства в Тамбовской области».</w:t>
      </w:r>
      <w:r/>
    </w:p>
    <w:p>
      <w:pPr>
        <w:pStyle w:val="61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 Цели вводимого правового регулирования и измеримые показатели их достижения: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 Описание целей предлагаемого правового регулирования: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Стимулирование с/х товаропроизводителей на производство овощей и картофеля.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pStyle w:val="616"/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Проект нормативного правового акта разработан в соответствии с Государственной программой развития сельского хозяйства и регулирования</w:t>
      </w:r>
      <w:r>
        <w:rPr>
          <w:i/>
          <w:sz w:val="28"/>
          <w:szCs w:val="28"/>
          <w:u w:val="single"/>
        </w:rPr>
        <w:t xml:space="preserve">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</w:t>
      </w:r>
      <w:r>
        <w:rPr>
          <w:i/>
          <w:sz w:val="28"/>
          <w:szCs w:val="28"/>
          <w:u w:val="single"/>
        </w:rPr>
        <w:t xml:space="preserve">продукции, сырья и продовольствия», 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</w:t>
      </w:r>
      <w:r>
        <w:rPr>
          <w:i/>
          <w:sz w:val="28"/>
          <w:szCs w:val="28"/>
          <w:u w:val="single"/>
        </w:rPr>
        <w:t xml:space="preserve">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</w:t>
      </w:r>
      <w:r>
        <w:rPr>
          <w:i/>
          <w:sz w:val="28"/>
          <w:szCs w:val="28"/>
          <w:u w:val="single"/>
        </w:rPr>
        <w:t xml:space="preserve">ов Правительства Российской Федерации», с постановлением Правительства Российской Федерации от 5 апреля 2022 года № 590 «О внесении изменений в общие требования к нормативным правовым актам, муниципальным правовым актам, регулирующим предоставление субсиди</w:t>
      </w:r>
      <w:r>
        <w:rPr>
          <w:i/>
          <w:sz w:val="28"/>
          <w:szCs w:val="28"/>
          <w:u w:val="single"/>
        </w:rPr>
        <w:t xml:space="preserve">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</w:t>
      </w:r>
      <w:r>
        <w:rPr>
          <w:i/>
          <w:sz w:val="28"/>
          <w:szCs w:val="28"/>
          <w:u w:val="single"/>
        </w:rPr>
        <w:t xml:space="preserve">ъектов Российской Федерации в 2022 году»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439-пп.</w:t>
      </w:r>
      <w:r/>
    </w:p>
    <w:p>
      <w:pPr>
        <w:pStyle w:val="616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Сроки достижения целей предлагаемого правового регулирования:</w:t>
      </w:r>
      <w:r/>
    </w:p>
    <w:p>
      <w:pPr>
        <w:pStyle w:val="616"/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t xml:space="preserve">Декабрь 2023 года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</w:t>
      </w:r>
      <w:r>
        <w:rPr>
          <w:rFonts w:eastAsia="Calibri"/>
          <w:sz w:val="28"/>
          <w:szCs w:val="28"/>
          <w:lang w:val="en-US"/>
        </w:rPr>
        <w:t xml:space="preserve"> </w:t>
      </w:r>
      <w:r>
        <w:rPr>
          <w:rFonts w:eastAsia="Calibri"/>
          <w:sz w:val="28"/>
          <w:szCs w:val="28"/>
        </w:rPr>
        <w:t xml:space="preserve">Иная информация о целях предлагаемого правового регулирования:</w:t>
      </w:r>
      <w:r/>
    </w:p>
    <w:p>
      <w:pPr>
        <w:pStyle w:val="616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Отсутствует</w:t>
      </w:r>
      <w:r/>
    </w:p>
    <w:p>
      <w:pPr>
        <w:pStyle w:val="616"/>
        <w:contextualSpacing/>
        <w:ind w:left="709" w:firstLine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4. Описание предлагаемого правового регулирования: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Проектом постановления Правительства Белгородской области</w:t>
      </w:r>
      <w:r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i/>
          <w:iCs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утверждаются </w:t>
      </w:r>
      <w:r>
        <w:rPr>
          <w:rFonts w:eastAsia="Calibri"/>
          <w:i/>
          <w:iCs/>
          <w:sz w:val="28"/>
          <w:szCs w:val="28"/>
          <w:u w:val="single"/>
        </w:rPr>
        <w:t xml:space="preserve">Порядки:</w:t>
      </w:r>
      <w:r/>
    </w:p>
    <w:p>
      <w:pPr>
        <w:pStyle w:val="616"/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1) Порядок предоставления субсидий из областного бюджета сельскохозяйственным товаропроизводителям Белгородской области на финансовое обеспечение (возмещение) части затрат на поддержку элитного семеноводства картофеля и (или) овощных культур;</w:t>
      </w:r>
      <w:r/>
    </w:p>
    <w:p>
      <w:pPr>
        <w:pStyle w:val="616"/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2) Порядок предоставления субсидий из областного бюджета сельскохозяйственным товароп</w:t>
      </w:r>
      <w:r>
        <w:rPr>
          <w:rFonts w:eastAsia="Calibri"/>
          <w:i/>
          <w:iCs/>
          <w:sz w:val="28"/>
          <w:szCs w:val="28"/>
          <w:u w:val="single"/>
        </w:rPr>
        <w:t xml:space="preserve">роизводителям Белгородской области на финансовое обеспечение (возмещение)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  <w:r/>
    </w:p>
    <w:p>
      <w:pPr>
        <w:pStyle w:val="616"/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3) Порядок предоставления субсидий из областного бюджета  сельскохозяйственным товаропроизводителям Белгородской области на финансовое обеспечение (возмещение) части затрат на поддержку производства картофеля и овощей открытого грунта;</w:t>
      </w:r>
      <w:r/>
    </w:p>
    <w:p>
      <w:pPr>
        <w:pStyle w:val="616"/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4) Порядок предоставления субсидий из о</w:t>
      </w:r>
      <w:r>
        <w:rPr>
          <w:rFonts w:eastAsia="Calibri"/>
          <w:i/>
          <w:iCs/>
          <w:sz w:val="28"/>
          <w:szCs w:val="28"/>
          <w:u w:val="single"/>
        </w:rPr>
        <w:t xml:space="preserve">бластного бюджета  сельскохозяйственным товаропроизводителям Белгородской области на финансовое обеспечение (возмещение) части затрат на производство овощей защищенного грунта собственного производства, произведенных с применением технологии досвечивания, 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включающие в себя: 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общие положения; 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порядок проведения отбора получателей субсидий для предоставления Субсидий; 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условия и порядок предоставления субсидии;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требования к отчетности;</w:t>
      </w:r>
      <w:r/>
    </w:p>
    <w:p>
      <w:pPr>
        <w:pStyle w:val="616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требования к осуществлению контроля (мониторинга) за соблюдением условий, целей и порядка предоставления Субсидий и ответственности за их нарушение.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4.2. Альтернативные варианты решения проблемы:</w:t>
      </w:r>
      <w:r/>
    </w:p>
    <w:p>
      <w:pPr>
        <w:pStyle w:val="616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Выращивание овощных культур и картофеля за счет собственных или заемных средств сельскохозяйственных товаропроизводителей.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4.3. Обоснование выбора предлагаемого способа решения проблемы:</w:t>
      </w:r>
      <w:r/>
    </w:p>
    <w:p>
      <w:pPr>
        <w:pStyle w:val="616"/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является утверждение Порядков, позволяю</w:t>
      </w:r>
      <w:r>
        <w:rPr>
          <w:rFonts w:eastAsia="Calibri"/>
          <w:i/>
          <w:sz w:val="28"/>
          <w:szCs w:val="28"/>
          <w:u w:val="single"/>
        </w:rPr>
        <w:t xml:space="preserve">щих получать компенсацию части фактически понесенных затрат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включенным в единый реестр </w:t>
      </w:r>
      <w:r>
        <w:rPr>
          <w:rFonts w:eastAsia="Calibri"/>
          <w:i/>
          <w:sz w:val="28"/>
          <w:szCs w:val="28"/>
          <w:u w:val="single"/>
        </w:rPr>
        <w:t xml:space="preserve">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Федерации», на следующие мероприятия:</w:t>
      </w:r>
      <w:r/>
    </w:p>
    <w:p>
      <w:pPr>
        <w:pStyle w:val="616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rFonts w:eastAsia="Calibri"/>
          <w:bCs/>
          <w:i/>
          <w:iCs/>
          <w:sz w:val="28"/>
          <w:szCs w:val="28"/>
        </w:rPr>
        <w:t xml:space="preserve">на поддержку элитного семеноводства картофеля и (или) овощных культур;</w:t>
      </w:r>
      <w:r/>
    </w:p>
    <w:p>
      <w:pPr>
        <w:pStyle w:val="616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rFonts w:eastAsia="Calibri"/>
          <w:bCs/>
          <w:i/>
          <w:iCs/>
          <w:sz w:val="28"/>
          <w:szCs w:val="28"/>
        </w:rPr>
        <w:t xml:space="preserve"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  <w:r/>
    </w:p>
    <w:p>
      <w:pPr>
        <w:pStyle w:val="616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rFonts w:eastAsia="Calibri"/>
          <w:bCs/>
          <w:i/>
          <w:iCs/>
          <w:sz w:val="28"/>
          <w:szCs w:val="28"/>
        </w:rPr>
        <w:t xml:space="preserve">на поддержку производства картофеля и овощей открытого грунта;</w:t>
      </w:r>
      <w:r/>
    </w:p>
    <w:p>
      <w:pPr>
        <w:pStyle w:val="616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rFonts w:eastAsia="Calibri"/>
          <w:bCs/>
          <w:i/>
          <w:iCs/>
          <w:sz w:val="28"/>
          <w:szCs w:val="28"/>
        </w:rPr>
        <w:t xml:space="preserve">на производство овощей защищенного грунта собственного производства, произведенных с применением технологии досвечивания.</w:t>
      </w:r>
      <w:r/>
    </w:p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4.4.</w:t>
      </w:r>
      <w:r>
        <w:rPr>
          <w:rFonts w:eastAsia="Calibri"/>
        </w:rPr>
        <w:t xml:space="preserve"> </w:t>
      </w:r>
      <w:r>
        <w:rPr>
          <w:rFonts w:eastAsia="Calibri"/>
          <w:bCs/>
          <w:sz w:val="28"/>
          <w:szCs w:val="28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563"/>
        <w:gridCol w:w="5103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3" w:type="dxa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3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16"/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25</w:t>
            </w:r>
            <w:r/>
          </w:p>
        </w:tc>
      </w:tr>
    </w:tbl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/>
    </w:p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88"/>
        <w:gridCol w:w="3685"/>
        <w:gridCol w:w="26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  <w:br/>
              <w:t xml:space="preserve">или изменения содержания существующих обязанностей </w:t>
              <w:br/>
              <w:t xml:space="preserve">и ограничений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расходов/доходов,</w:t>
            </w:r>
            <w:r/>
          </w:p>
          <w:p>
            <w:pPr>
              <w:pStyle w:val="616"/>
              <w:ind w:right="57"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издержек/выгод,</w:t>
            </w:r>
            <w:r/>
          </w:p>
          <w:p>
            <w:pPr>
              <w:pStyle w:val="616"/>
              <w:ind w:right="57"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руб.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ind w:right="57" w:firstLine="0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Сельскохозяйственные товаропроизводителей (за исключением граждан, ведущих личное подсобное хозяйство, и сельскохозяйственных кредитных потребительских кооперативов), 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Преимущество:</w:t>
            </w:r>
            <w:r/>
          </w:p>
          <w:p>
            <w:pPr>
              <w:pStyle w:val="616"/>
              <w:ind w:right="57" w:firstLine="0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Возможность получения субсидий на цели и в размере, не предусмотренные действующими программами государственной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</w:t>
            </w:r>
            <w:r/>
          </w:p>
          <w:p>
            <w:pPr>
              <w:pStyle w:val="616"/>
              <w:ind w:right="57" w:firstLine="0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ind w:right="57" w:firstLine="0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 xml:space="preserve">Обязанность:</w:t>
            </w:r>
            <w:r>
              <w:rPr>
                <w:i/>
                <w:iCs/>
                <w:sz w:val="28"/>
                <w:szCs w:val="28"/>
              </w:rPr>
              <w:t xml:space="preserve"> предоставление пакета документов, необходимых для участия в конкурсном отборе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Общая стоимость требования</w:t>
            </w:r>
            <w:r/>
          </w:p>
          <w:p>
            <w:pPr>
              <w:pStyle w:val="616"/>
              <w:ind w:right="57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91 105,13 </w:t>
            </w:r>
            <w:r>
              <w:rPr>
                <w:i/>
                <w:sz w:val="28"/>
                <w:szCs w:val="28"/>
              </w:rPr>
              <w:t xml:space="preserve">руб.</w:t>
            </w:r>
            <w:r/>
          </w:p>
        </w:tc>
      </w:tr>
    </w:tbl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/>
    </w:p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722"/>
        <w:gridCol w:w="4109"/>
        <w:gridCol w:w="283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Осуществляются в рамках ранее установленных полномочий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Дополнительные трудозатраты не требуются.</w:t>
            </w:r>
            <w:r/>
          </w:p>
        </w:tc>
      </w:tr>
    </w:tbl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88"/>
        <w:gridCol w:w="3685"/>
        <w:gridCol w:w="26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тыс. руб.</w:t>
            </w:r>
            <w:r/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Align w:val="center"/>
            <w:textDirection w:val="lrTb"/>
            <w:noWrap w:val="false"/>
          </w:tcPr>
          <w:p>
            <w:pPr>
              <w:pStyle w:val="61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Проведение конкурсного отбора, подготовка документов для выдачи субсидий, осуществление контроля за соблюдением</w:t>
            </w:r>
            <w:r/>
          </w:p>
          <w:p>
            <w:pPr>
              <w:pStyle w:val="616"/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условий и порядка предоставления субсидий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Выдача  </w:t>
            </w:r>
            <w:r>
              <w:rPr>
                <w:i/>
                <w:sz w:val="28"/>
                <w:szCs w:val="28"/>
              </w:rPr>
              <w:t xml:space="preserve"> субсидии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- на 2023 год - 89</w:t>
            </w:r>
            <w:r>
              <w:rPr>
                <w:i/>
                <w:sz w:val="24"/>
                <w:szCs w:val="24"/>
                <w:lang w:eastAsia="ru-RU"/>
              </w:rPr>
              <w:t xml:space="preserve"> 377,8</w:t>
            </w:r>
            <w:r>
              <w:rPr>
                <w:i/>
                <w:sz w:val="27"/>
                <w:szCs w:val="27"/>
              </w:rPr>
              <w:t xml:space="preserve"> тыс. руб.;</w:t>
            </w:r>
            <w:r/>
          </w:p>
          <w:p>
            <w:pPr>
              <w:pStyle w:val="616"/>
              <w:jc w:val="center"/>
              <w:rPr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i/>
                <w:sz w:val="27"/>
                <w:szCs w:val="27"/>
              </w:rPr>
              <w:t xml:space="preserve">- на 2024 год - 89</w:t>
            </w:r>
            <w:r>
              <w:rPr>
                <w:i/>
                <w:sz w:val="24"/>
                <w:szCs w:val="24"/>
                <w:lang w:eastAsia="ru-RU"/>
              </w:rPr>
              <w:t xml:space="preserve"> 377,8</w:t>
            </w:r>
            <w:r>
              <w:rPr>
                <w:i/>
                <w:sz w:val="27"/>
                <w:szCs w:val="27"/>
              </w:rPr>
              <w:t xml:space="preserve"> тыс</w:t>
            </w:r>
            <w:r>
              <w:rPr>
                <w:i/>
                <w:sz w:val="26"/>
                <w:szCs w:val="26"/>
              </w:rPr>
              <w:t xml:space="preserve">. руб.;</w:t>
              <w:br/>
              <w:t xml:space="preserve">- на 2025 год - 91</w:t>
            </w:r>
            <w:r>
              <w:rPr>
                <w:i/>
                <w:sz w:val="24"/>
                <w:szCs w:val="24"/>
                <w:lang w:eastAsia="ru-RU"/>
              </w:rPr>
              <w:t xml:space="preserve"> 794,7 тыс. руб.</w:t>
            </w:r>
            <w:r>
              <w:rPr>
                <w:i/>
                <w:sz w:val="28"/>
                <w:szCs w:val="28"/>
              </w:rPr>
              <w:t xml:space="preserve"> </w:t>
            </w:r>
            <w:r/>
          </w:p>
        </w:tc>
      </w:tr>
    </w:tbl>
    <w:p>
      <w:pPr>
        <w:pStyle w:val="616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Риски решения проблемы предложенным способом и риски негативных последствий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pStyle w:val="616"/>
              <w:ind w:right="57" w:firstLine="0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Отсутствие заявок на участие в конкурсном отборе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616"/>
              <w:ind w:firstLine="709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  <w:p>
            <w:pPr>
              <w:pStyle w:val="616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Маловероятно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Мониторинг количества поданных заявок </w:t>
            </w:r>
            <w:r/>
          </w:p>
        </w:tc>
      </w:tr>
    </w:tbl>
    <w:p>
      <w:pPr>
        <w:pStyle w:val="61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16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W w:w="9667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6"/>
        <w:gridCol w:w="1134"/>
        <w:gridCol w:w="12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Информирование участников отбора о проведении конкурса отбора через органы местного самоуправления </w:t>
            </w:r>
            <w:r/>
          </w:p>
          <w:p>
            <w:pPr>
              <w:pStyle w:val="616"/>
              <w:rPr>
                <w:rFonts w:eastAsia="Calibri"/>
                <w:i/>
                <w:sz w:val="28"/>
                <w:szCs w:val="28"/>
                <w:highlight w:val="yellow"/>
              </w:rPr>
            </w:pPr>
            <w:r>
              <w:rPr>
                <w:rFonts w:eastAsia="Calibri"/>
                <w:i/>
                <w:sz w:val="28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widowControl w:val="off"/>
              <w:rPr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II</w:t>
            </w:r>
            <w:r>
              <w:rPr>
                <w:rFonts w:eastAsia="Calibri"/>
                <w:i/>
                <w:sz w:val="26"/>
                <w:szCs w:val="26"/>
              </w:rPr>
              <w:t xml:space="preserve">-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IV</w:t>
            </w:r>
            <w:r>
              <w:rPr>
                <w:rFonts w:eastAsia="Calibri"/>
                <w:i/>
                <w:sz w:val="26"/>
                <w:szCs w:val="26"/>
              </w:rPr>
              <w:t xml:space="preserve"> кв.2023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выплата сельскохозяйственным товаропроизводителям, соответствующим критериям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16"/>
              <w:ind w:hanging="28"/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Размещение списка и форм документов на сайте </w:t>
            </w:r>
            <w:r>
              <w:rPr>
                <w:i/>
                <w:sz w:val="28"/>
                <w:szCs w:val="28"/>
              </w:rPr>
              <w:t xml:space="preserve">Министерства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widowControl w:val="off"/>
              <w:rPr>
                <w:rFonts w:eastAsia="Calibri"/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II</w:t>
            </w:r>
            <w:r>
              <w:rPr>
                <w:rFonts w:eastAsia="Calibri"/>
                <w:i/>
                <w:sz w:val="26"/>
                <w:szCs w:val="26"/>
              </w:rPr>
              <w:t xml:space="preserve">-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IV</w:t>
            </w:r>
            <w:r>
              <w:rPr>
                <w:rFonts w:eastAsia="Calibri"/>
                <w:i/>
                <w:sz w:val="26"/>
                <w:szCs w:val="26"/>
              </w:rPr>
              <w:t xml:space="preserve"> кв.2023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16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выплата сельскохозяйственным товаропроизводителям, соответствующим критериям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16"/>
              <w:ind w:hanging="28"/>
              <w:jc w:val="center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</w:tr>
    </w:tbl>
    <w:p>
      <w:pPr>
        <w:pStyle w:val="616"/>
        <w:ind w:firstLine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pStyle w:val="616"/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Ожидаемые измеримые результаты правового регулирования:*</w:t>
      </w:r>
      <w:r/>
    </w:p>
    <w:p>
      <w:pPr>
        <w:pStyle w:val="616"/>
        <w:ind w:firstLine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tbl>
      <w:tblPr>
        <w:tblW w:w="9628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53"/>
        <w:gridCol w:w="3754"/>
        <w:gridCol w:w="20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 оценки достижения ключевых показателей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поддержки в виде предоставления субсидий субсидии из областного бюджета  на реализацию следующих мероприятий:</w:t>
            </w:r>
            <w:r/>
          </w:p>
          <w:p>
            <w:pPr>
              <w:pStyle w:val="616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- на финансовое обеспечение (возмещение) части затрат на поддержку элитного семеноводства картофеля и (или) овощных культур;</w:t>
            </w:r>
            <w:r/>
          </w:p>
          <w:p>
            <w:pPr>
              <w:pStyle w:val="616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-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      </w:r>
            <w:r/>
          </w:p>
          <w:p>
            <w:pPr>
              <w:pStyle w:val="616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- на финансовое обеспечение (возмещение) части затрат на поддержку производства картофеля и овощей открытого грунта;</w:t>
            </w:r>
            <w:r/>
          </w:p>
          <w:p>
            <w:pPr>
              <w:pStyle w:val="616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- на производство овощей защищенного грунта собственного производства, произведенных с применением технологии досвечивания.</w:t>
            </w:r>
            <w:r/>
          </w:p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Не менее 25 с/х товаропроизводителей на общую сумму </w:t>
            </w:r>
            <w:r>
              <w:rPr>
                <w:i/>
                <w:sz w:val="27"/>
                <w:szCs w:val="27"/>
              </w:rPr>
              <w:t xml:space="preserve">89</w:t>
            </w:r>
            <w:r>
              <w:rPr>
                <w:i/>
                <w:sz w:val="24"/>
                <w:szCs w:val="24"/>
                <w:lang w:eastAsia="ru-RU"/>
              </w:rPr>
              <w:t xml:space="preserve"> </w:t>
            </w:r>
            <w:r>
              <w:rPr>
                <w:i/>
                <w:sz w:val="26"/>
                <w:szCs w:val="26"/>
                <w:lang w:eastAsia="ru-RU"/>
              </w:rPr>
              <w:t xml:space="preserve">377,8</w:t>
            </w:r>
            <w:r>
              <w:rPr>
                <w:i/>
                <w:sz w:val="26"/>
                <w:szCs w:val="26"/>
              </w:rPr>
              <w:t xml:space="preserve"> тыс.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Оценка поступивших заявок от сельскохозяйственных товаропроизводителей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  <w:lang w:eastAsia="en-US" w:bidi="en-US"/>
              </w:rPr>
              <w:t xml:space="preserve">сентябрь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-декабрь</w:t>
            </w:r>
            <w:r/>
          </w:p>
          <w:p>
            <w:pPr>
              <w:pStyle w:val="616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2023 года</w:t>
            </w:r>
            <w:r/>
          </w:p>
        </w:tc>
      </w:tr>
    </w:tbl>
    <w:p>
      <w:pPr>
        <w:pStyle w:val="616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>
        <w:rPr>
          <w:rFonts w:eastAsia="Calibri"/>
          <w:bCs/>
          <w:sz w:val="28"/>
          <w:szCs w:val="28"/>
          <w:lang w:val="en-US"/>
        </w:rPr>
        <w:t xml:space="preserve">I</w:t>
      </w:r>
      <w:r>
        <w:rPr>
          <w:rFonts w:eastAsia="Calibri"/>
          <w:bCs/>
          <w:sz w:val="28"/>
          <w:szCs w:val="28"/>
          <w:lang w:val="en-US"/>
        </w:rPr>
        <w:t xml:space="preserve">II</w:t>
      </w:r>
      <w:r>
        <w:rPr>
          <w:rFonts w:eastAsia="Calibri"/>
          <w:sz w:val="28"/>
          <w:szCs w:val="28"/>
        </w:rPr>
        <w:t xml:space="preserve"> кв.2023 г.</w:t>
      </w:r>
      <w:r/>
    </w:p>
    <w:p>
      <w:pPr>
        <w:pStyle w:val="616"/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809" w:type="dxa"/>
        <w:tblInd w:w="0" w:type="dxa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>
        <w:trPr/>
        <w:tc>
          <w:tcPr>
            <w:tcBorders>
              <w:bottom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616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Антоненко А.А.</w:t>
            </w:r>
            <w:r/>
          </w:p>
        </w:tc>
        <w:tc>
          <w:tcPr>
            <w:tcW w:w="2296" w:type="dxa"/>
            <w:vAlign w:val="bottom"/>
            <w:textDirection w:val="lrTb"/>
            <w:noWrap w:val="false"/>
          </w:tcPr>
          <w:p>
            <w:pPr>
              <w:pStyle w:val="616"/>
              <w:ind w:firstLine="709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616"/>
              <w:ind w:firstLine="709"/>
              <w:jc w:val="center"/>
            </w:pPr>
            <w:r/>
            <w:r/>
          </w:p>
        </w:tc>
        <w:tc>
          <w:tcPr>
            <w:tcW w:w="142" w:type="dxa"/>
            <w:vAlign w:val="bottom"/>
            <w:textDirection w:val="lrTb"/>
            <w:noWrap w:val="false"/>
          </w:tcPr>
          <w:p>
            <w:pPr>
              <w:pStyle w:val="616"/>
              <w:ind w:firstLine="709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16"/>
              <w:ind w:firstLine="709"/>
              <w:jc w:val="center"/>
            </w:pPr>
            <w:r/>
            <w:r/>
          </w:p>
        </w:tc>
      </w:tr>
      <w:tr>
        <w:trPr/>
        <w:tc>
          <w:tcPr>
            <w:tcW w:w="3686" w:type="dxa"/>
            <w:textDirection w:val="lrTb"/>
            <w:noWrap w:val="false"/>
          </w:tcPr>
          <w:p>
            <w:pPr>
              <w:pStyle w:val="616"/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(инициалы, фамилия)</w:t>
            </w:r>
            <w:r/>
          </w:p>
        </w:tc>
        <w:tc>
          <w:tcPr>
            <w:tcW w:w="2296" w:type="dxa"/>
            <w:textDirection w:val="lrTb"/>
            <w:noWrap w:val="false"/>
          </w:tcPr>
          <w:p>
            <w:pPr>
              <w:pStyle w:val="616"/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16"/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(дата)</w:t>
            </w:r>
            <w:r/>
          </w:p>
        </w:tc>
        <w:tc>
          <w:tcPr>
            <w:tcW w:w="142" w:type="dxa"/>
            <w:textDirection w:val="lrTb"/>
            <w:noWrap w:val="false"/>
          </w:tcPr>
          <w:p>
            <w:pPr>
              <w:pStyle w:val="616"/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16"/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(подпись)</w:t>
            </w:r>
            <w:r/>
          </w:p>
        </w:tc>
      </w:tr>
    </w:tbl>
    <w:p>
      <w:pPr>
        <w:pStyle w:val="616"/>
        <w:ind w:firstLine="709"/>
        <w:jc w:val="both"/>
        <w:rPr>
          <w:szCs w:val="20"/>
        </w:rPr>
      </w:pPr>
      <w:r>
        <w:rPr>
          <w:szCs w:val="20"/>
        </w:rPr>
      </w:r>
      <w:r/>
    </w:p>
    <w:p>
      <w:pPr>
        <w:pStyle w:val="616"/>
        <w:ind w:firstLine="709"/>
        <w:jc w:val="both"/>
        <w:rPr>
          <w:rFonts w:eastAsia="Calibri"/>
          <w:sz w:val="28"/>
          <w:szCs w:val="28"/>
        </w:rPr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709" w:right="709" w:bottom="851" w:left="1560" w:header="39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  <w:p>
    <w:pPr>
      <w:pStyle w:val="6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26"/>
    <w:link w:val="61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26"/>
    <w:link w:val="61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26"/>
    <w:link w:val="61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26"/>
    <w:link w:val="62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26"/>
    <w:link w:val="62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26"/>
    <w:link w:val="62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26"/>
    <w:link w:val="6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26"/>
    <w:link w:val="62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26"/>
    <w:link w:val="62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26"/>
    <w:link w:val="657"/>
    <w:uiPriority w:val="10"/>
    <w:rPr>
      <w:sz w:val="48"/>
      <w:szCs w:val="48"/>
    </w:rPr>
  </w:style>
  <w:style w:type="character" w:styleId="36">
    <w:name w:val="Subtitle Char"/>
    <w:basedOn w:val="626"/>
    <w:link w:val="658"/>
    <w:uiPriority w:val="11"/>
    <w:rPr>
      <w:sz w:val="24"/>
      <w:szCs w:val="24"/>
    </w:rPr>
  </w:style>
  <w:style w:type="character" w:styleId="38">
    <w:name w:val="Quote Char"/>
    <w:link w:val="659"/>
    <w:uiPriority w:val="29"/>
    <w:rPr>
      <w:i/>
    </w:rPr>
  </w:style>
  <w:style w:type="character" w:styleId="40">
    <w:name w:val="Intense Quote Char"/>
    <w:link w:val="660"/>
    <w:uiPriority w:val="30"/>
    <w:rPr>
      <w:i/>
    </w:rPr>
  </w:style>
  <w:style w:type="table" w:styleId="49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Text Char"/>
    <w:link w:val="665"/>
    <w:uiPriority w:val="99"/>
    <w:rPr>
      <w:sz w:val="18"/>
    </w:rPr>
  </w:style>
  <w:style w:type="character" w:styleId="176">
    <w:name w:val="footnote reference"/>
    <w:basedOn w:val="626"/>
    <w:uiPriority w:val="99"/>
    <w:unhideWhenUsed/>
    <w:rPr>
      <w:vertAlign w:val="superscript"/>
    </w:rPr>
  </w:style>
  <w:style w:type="paragraph" w:styleId="177">
    <w:name w:val="endnote text"/>
    <w:basedOn w:val="61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26"/>
    <w:uiPriority w:val="99"/>
    <w:semiHidden/>
    <w:unhideWhenUsed/>
    <w:rPr>
      <w:vertAlign w:val="superscript"/>
    </w:rPr>
  </w:style>
  <w:style w:type="paragraph" w:styleId="190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17">
    <w:name w:val="Heading 1"/>
    <w:uiPriority w:val="9"/>
    <w:qFormat/>
    <w:pPr>
      <w:jc w:val="left"/>
      <w:keepLines/>
      <w:keepNext/>
      <w:spacing w:before="480" w:after="200"/>
      <w:widowControl/>
      <w:outlineLvl w:val="0"/>
    </w:pPr>
    <w:rPr>
      <w:rFonts w:ascii="Arial" w:hAnsi="Arial" w:eastAsia="Arial" w:cs="Arial"/>
      <w:color w:val="auto"/>
      <w:sz w:val="40"/>
      <w:szCs w:val="40"/>
      <w:lang w:val="ru-RU" w:eastAsia="en-US" w:bidi="en-US"/>
    </w:rPr>
  </w:style>
  <w:style w:type="paragraph" w:styleId="618">
    <w:name w:val="Heading 2"/>
    <w:uiPriority w:val="9"/>
    <w:unhideWhenUsed/>
    <w:qFormat/>
    <w:pPr>
      <w:jc w:val="left"/>
      <w:keepLines/>
      <w:keepNext/>
      <w:spacing w:before="360" w:after="200"/>
      <w:widowControl/>
      <w:outlineLvl w:val="1"/>
    </w:pPr>
    <w:rPr>
      <w:rFonts w:ascii="Arial" w:hAnsi="Arial" w:eastAsia="Arial" w:cs="Arial"/>
      <w:color w:val="auto"/>
      <w:sz w:val="34"/>
      <w:szCs w:val="22"/>
      <w:lang w:val="ru-RU" w:eastAsia="en-US" w:bidi="en-US"/>
    </w:rPr>
  </w:style>
  <w:style w:type="paragraph" w:styleId="619">
    <w:name w:val="Heading 3"/>
    <w:uiPriority w:val="9"/>
    <w:unhideWhenUsed/>
    <w:qFormat/>
    <w:pPr>
      <w:jc w:val="left"/>
      <w:keepLines/>
      <w:keepNext/>
      <w:spacing w:before="320" w:after="200"/>
      <w:widowControl/>
      <w:outlineLvl w:val="2"/>
    </w:pPr>
    <w:rPr>
      <w:rFonts w:ascii="Arial" w:hAnsi="Arial" w:eastAsia="Arial" w:cs="Arial"/>
      <w:color w:val="auto"/>
      <w:sz w:val="30"/>
      <w:szCs w:val="30"/>
      <w:lang w:val="ru-RU" w:eastAsia="en-US" w:bidi="en-US"/>
    </w:rPr>
  </w:style>
  <w:style w:type="paragraph" w:styleId="620">
    <w:name w:val="Heading 4"/>
    <w:uiPriority w:val="9"/>
    <w:unhideWhenUsed/>
    <w:qFormat/>
    <w:pPr>
      <w:jc w:val="left"/>
      <w:keepLines/>
      <w:keepNext/>
      <w:spacing w:before="320" w:after="200"/>
      <w:widowControl/>
      <w:outlineLvl w:val="3"/>
    </w:pPr>
    <w:rPr>
      <w:rFonts w:ascii="Arial" w:hAnsi="Arial" w:eastAsia="Arial" w:cs="Arial"/>
      <w:b/>
      <w:bCs/>
      <w:color w:val="auto"/>
      <w:sz w:val="26"/>
      <w:szCs w:val="26"/>
      <w:lang w:val="ru-RU" w:eastAsia="en-US" w:bidi="en-US"/>
    </w:rPr>
  </w:style>
  <w:style w:type="paragraph" w:styleId="621">
    <w:name w:val="Heading 5"/>
    <w:uiPriority w:val="9"/>
    <w:unhideWhenUsed/>
    <w:qFormat/>
    <w:pPr>
      <w:jc w:val="left"/>
      <w:keepLines/>
      <w:keepNext/>
      <w:spacing w:before="320" w:after="200"/>
      <w:widowControl/>
      <w:outlineLvl w:val="4"/>
    </w:pPr>
    <w:rPr>
      <w:rFonts w:ascii="Arial" w:hAnsi="Arial" w:eastAsia="Arial" w:cs="Arial"/>
      <w:b/>
      <w:bCs/>
      <w:color w:val="auto"/>
      <w:sz w:val="24"/>
      <w:szCs w:val="24"/>
      <w:lang w:val="ru-RU" w:eastAsia="en-US" w:bidi="en-US"/>
    </w:rPr>
  </w:style>
  <w:style w:type="paragraph" w:styleId="622">
    <w:name w:val="Heading 6"/>
    <w:uiPriority w:val="9"/>
    <w:unhideWhenUsed/>
    <w:qFormat/>
    <w:pPr>
      <w:jc w:val="left"/>
      <w:keepLines/>
      <w:keepNext/>
      <w:spacing w:before="320" w:after="200"/>
      <w:widowControl/>
      <w:outlineLvl w:val="5"/>
    </w:pPr>
    <w:rPr>
      <w:rFonts w:ascii="Arial" w:hAnsi="Arial" w:eastAsia="Arial" w:cs="Arial"/>
      <w:b/>
      <w:bCs/>
      <w:color w:val="auto"/>
      <w:sz w:val="22"/>
      <w:szCs w:val="22"/>
      <w:lang w:val="ru-RU" w:eastAsia="en-US" w:bidi="en-US"/>
    </w:rPr>
  </w:style>
  <w:style w:type="paragraph" w:styleId="623">
    <w:name w:val="Heading 7"/>
    <w:uiPriority w:val="9"/>
    <w:unhideWhenUsed/>
    <w:qFormat/>
    <w:pPr>
      <w:jc w:val="left"/>
      <w:keepLines/>
      <w:keepNext/>
      <w:spacing w:before="320" w:after="200"/>
      <w:widowControl/>
      <w:outlineLvl w:val="6"/>
    </w:pPr>
    <w:rPr>
      <w:rFonts w:ascii="Arial" w:hAnsi="Arial" w:eastAsia="Arial" w:cs="Arial"/>
      <w:b/>
      <w:bCs/>
      <w:i/>
      <w:iCs/>
      <w:color w:val="auto"/>
      <w:sz w:val="22"/>
      <w:szCs w:val="22"/>
      <w:lang w:val="ru-RU" w:eastAsia="en-US" w:bidi="en-US"/>
    </w:rPr>
  </w:style>
  <w:style w:type="paragraph" w:styleId="624">
    <w:name w:val="Heading 8"/>
    <w:uiPriority w:val="9"/>
    <w:unhideWhenUsed/>
    <w:qFormat/>
    <w:pPr>
      <w:jc w:val="left"/>
      <w:keepLines/>
      <w:keepNext/>
      <w:spacing w:before="320" w:after="200"/>
      <w:widowControl/>
      <w:outlineLvl w:val="7"/>
    </w:pPr>
    <w:rPr>
      <w:rFonts w:ascii="Arial" w:hAnsi="Arial" w:eastAsia="Arial" w:cs="Arial"/>
      <w:i/>
      <w:iCs/>
      <w:color w:val="auto"/>
      <w:sz w:val="22"/>
      <w:szCs w:val="22"/>
      <w:lang w:val="ru-RU" w:eastAsia="en-US" w:bidi="en-US"/>
    </w:rPr>
  </w:style>
  <w:style w:type="paragraph" w:styleId="625">
    <w:name w:val="Heading 9"/>
    <w:uiPriority w:val="9"/>
    <w:unhideWhenUsed/>
    <w:qFormat/>
    <w:pPr>
      <w:jc w:val="left"/>
      <w:keepLines/>
      <w:keepNext/>
      <w:spacing w:before="320" w:after="200"/>
      <w:widowControl/>
      <w:outlineLvl w:val="8"/>
    </w:pPr>
    <w:rPr>
      <w:rFonts w:ascii="Arial" w:hAnsi="Arial" w:eastAsia="Arial" w:cs="Arial"/>
      <w:i/>
      <w:iCs/>
      <w:color w:val="auto"/>
      <w:sz w:val="21"/>
      <w:szCs w:val="21"/>
      <w:lang w:val="ru-RU" w:eastAsia="en-US" w:bidi="en-US"/>
    </w:rPr>
  </w:style>
  <w:style w:type="character" w:styleId="626" w:default="1">
    <w:name w:val="Default Paragraph Font"/>
    <w:uiPriority w:val="1"/>
    <w:semiHidden/>
    <w:unhideWhenUsed/>
    <w:qFormat/>
  </w:style>
  <w:style w:type="character" w:styleId="628" w:customStyle="1">
    <w:name w:val="Заголовок 2 Знак"/>
    <w:link w:val="618"/>
    <w:uiPriority w:val="9"/>
    <w:qFormat/>
    <w:rPr>
      <w:rFonts w:ascii="Arial" w:hAnsi="Arial" w:eastAsia="Arial" w:cs="Arial"/>
      <w:sz w:val="34"/>
    </w:rPr>
  </w:style>
  <w:style w:type="character" w:styleId="632" w:customStyle="1">
    <w:name w:val="Заголовок 6 Знак"/>
    <w:link w:val="6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 w:customStyle="1">
    <w:name w:val="Заголовок 7 Знак"/>
    <w:link w:val="6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 w:customStyle="1">
    <w:name w:val="Заголовок 8 Знак"/>
    <w:link w:val="6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 w:customStyle="1">
    <w:name w:val="Заголовок 9 Знак"/>
    <w:link w:val="62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 w:customStyle="1">
    <w:name w:val="Заголовок Знак"/>
    <w:uiPriority w:val="10"/>
    <w:qFormat/>
    <w:rPr>
      <w:sz w:val="48"/>
      <w:szCs w:val="48"/>
    </w:rPr>
  </w:style>
  <w:style w:type="character" w:styleId="637" w:customStyle="1">
    <w:name w:val="Подзаголовок Знак"/>
    <w:uiPriority w:val="11"/>
    <w:qFormat/>
    <w:rPr>
      <w:sz w:val="24"/>
      <w:szCs w:val="24"/>
    </w:rPr>
  </w:style>
  <w:style w:type="character" w:styleId="638" w:customStyle="1">
    <w:name w:val="Цитата 2 Знак"/>
    <w:link w:val="628"/>
    <w:uiPriority w:val="29"/>
    <w:qFormat/>
    <w:rPr>
      <w:i/>
    </w:rPr>
  </w:style>
  <w:style w:type="character" w:styleId="639" w:customStyle="1">
    <w:name w:val="Выделенная цитата Знак"/>
    <w:uiPriority w:val="30"/>
    <w:qFormat/>
    <w:rPr>
      <w:i/>
    </w:rPr>
  </w:style>
  <w:style w:type="character" w:styleId="640" w:customStyle="1">
    <w:name w:val="Header Char"/>
    <w:uiPriority w:val="99"/>
    <w:qFormat/>
  </w:style>
  <w:style w:type="character" w:styleId="641" w:customStyle="1">
    <w:name w:val="Footer Char"/>
    <w:uiPriority w:val="99"/>
    <w:qFormat/>
  </w:style>
  <w:style w:type="character" w:styleId="642" w:customStyle="1">
    <w:name w:val="Caption Char"/>
    <w:uiPriority w:val="99"/>
    <w:qFormat/>
  </w:style>
  <w:style w:type="character" w:styleId="643">
    <w:name w:val="Интернет-ссылка"/>
    <w:uiPriority w:val="99"/>
    <w:unhideWhenUsed/>
    <w:rPr>
      <w:color w:val="0000ff"/>
      <w:u w:val="single"/>
    </w:rPr>
  </w:style>
  <w:style w:type="character" w:styleId="644" w:customStyle="1">
    <w:name w:val="Текст сноски Знак"/>
    <w:uiPriority w:val="99"/>
    <w:qFormat/>
    <w:rPr>
      <w:sz w:val="18"/>
    </w:rPr>
  </w:style>
  <w:style w:type="character" w:styleId="645">
    <w:name w:val="Привязка сноски"/>
    <w:rPr>
      <w:vertAlign w:val="superscript"/>
    </w:rPr>
  </w:style>
  <w:style w:type="character" w:styleId="646">
    <w:name w:val="Footnote Characters"/>
    <w:uiPriority w:val="99"/>
    <w:unhideWhenUsed/>
    <w:qFormat/>
    <w:rPr>
      <w:vertAlign w:val="superscript"/>
    </w:rPr>
  </w:style>
  <w:style w:type="character" w:styleId="647" w:customStyle="1">
    <w:name w:val="Верхний колонтитул Знак"/>
    <w:qFormat/>
    <w:rPr>
      <w:sz w:val="24"/>
      <w:szCs w:val="24"/>
    </w:rPr>
  </w:style>
  <w:style w:type="character" w:styleId="648" w:customStyle="1">
    <w:name w:val="Нижний колонтитул Знак"/>
    <w:qFormat/>
    <w:rPr>
      <w:sz w:val="24"/>
      <w:szCs w:val="24"/>
    </w:rPr>
  </w:style>
  <w:style w:type="character" w:styleId="649">
    <w:name w:val="Unresolved Mention"/>
    <w:basedOn w:val="626"/>
    <w:uiPriority w:val="99"/>
    <w:semiHidden/>
    <w:unhideWhenUsed/>
    <w:qFormat/>
    <w:rPr>
      <w:color w:val="605e5c"/>
      <w:shd w:val="clear" w:color="auto" w:fill="e1dfdd"/>
    </w:rPr>
  </w:style>
  <w:style w:type="paragraph" w:styleId="650">
    <w:name w:val="Заголовок"/>
    <w:basedOn w:val="616"/>
    <w:next w:val="65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1">
    <w:name w:val="Body Text"/>
    <w:basedOn w:val="616"/>
    <w:pPr>
      <w:spacing w:before="0" w:after="140" w:line="276" w:lineRule="auto"/>
    </w:pPr>
  </w:style>
  <w:style w:type="paragraph" w:styleId="652">
    <w:name w:val="List"/>
    <w:basedOn w:val="651"/>
    <w:rPr>
      <w:rFonts w:ascii="PT Astra Serif" w:hAnsi="PT Astra Serif" w:cs="Noto Sans Devanagari"/>
    </w:rPr>
  </w:style>
  <w:style w:type="paragraph" w:styleId="653">
    <w:name w:val="Caption"/>
    <w:basedOn w:val="61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54">
    <w:name w:val="Указатель"/>
    <w:basedOn w:val="616"/>
    <w:qFormat/>
    <w:pPr>
      <w:suppressLineNumbers/>
    </w:pPr>
    <w:rPr>
      <w:rFonts w:ascii="PT Astra Serif" w:hAnsi="PT Astra Serif" w:cs="Noto Sans Devanagari"/>
    </w:rPr>
  </w:style>
  <w:style w:type="paragraph" w:styleId="655">
    <w:name w:val="List Paragraph"/>
    <w:basedOn w:val="616"/>
    <w:qFormat/>
    <w:pPr>
      <w:contextualSpacing/>
      <w:ind w:left="720" w:firstLine="0"/>
      <w:spacing w:before="0" w:after="0"/>
    </w:pPr>
    <w:rPr>
      <w:szCs w:val="20"/>
    </w:rPr>
  </w:style>
  <w:style w:type="paragraph" w:styleId="656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57">
    <w:name w:val="Title"/>
    <w:uiPriority w:val="10"/>
    <w:qFormat/>
    <w:pPr>
      <w:contextualSpacing/>
      <w:jc w:val="left"/>
      <w:spacing w:before="300" w:after="200"/>
      <w:widowControl/>
    </w:pPr>
    <w:rPr>
      <w:rFonts w:ascii="Times New Roman" w:hAnsi="Times New Roman" w:eastAsia="Times New Roman" w:cs="Times New Roman"/>
      <w:color w:val="auto"/>
      <w:sz w:val="48"/>
      <w:szCs w:val="48"/>
      <w:lang w:val="ru-RU" w:eastAsia="en-US" w:bidi="en-US"/>
    </w:rPr>
  </w:style>
  <w:style w:type="paragraph" w:styleId="658">
    <w:name w:val="Subtitle"/>
    <w:uiPriority w:val="11"/>
    <w:qFormat/>
    <w:pPr>
      <w:jc w:val="left"/>
      <w:spacing w:before="200" w:after="20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en-US" w:bidi="en-US"/>
    </w:rPr>
  </w:style>
  <w:style w:type="paragraph" w:styleId="659">
    <w:name w:val="Quote"/>
    <w:link w:val="638"/>
    <w:uiPriority w:val="29"/>
    <w:qFormat/>
    <w:pPr>
      <w:ind w:left="720" w:right="720" w:firstLine="0"/>
      <w:jc w:val="left"/>
      <w:spacing w:before="0" w:after="0"/>
      <w:widowControl/>
    </w:pPr>
    <w:rPr>
      <w:rFonts w:ascii="Times New Roman" w:hAnsi="Times New Roman" w:eastAsia="Times New Roman" w:cs="Times New Roman"/>
      <w:i/>
      <w:color w:val="auto"/>
      <w:sz w:val="20"/>
      <w:szCs w:val="22"/>
      <w:lang w:val="ru-RU" w:eastAsia="en-US" w:bidi="en-US"/>
    </w:rPr>
  </w:style>
  <w:style w:type="paragraph" w:styleId="660">
    <w:name w:val="Intense Quote"/>
    <w:uiPriority w:val="30"/>
    <w:qFormat/>
    <w:pPr>
      <w:ind w:left="720" w:right="720" w:firstLine="0"/>
      <w:jc w:val="left"/>
      <w:spacing w:before="0" w:after="0"/>
      <w:shd w:val="clear" w:color="auto" w:fill="f2f2f2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 w:cs="Times New Roman"/>
      <w:i/>
      <w:color w:val="auto"/>
      <w:sz w:val="20"/>
      <w:szCs w:val="22"/>
      <w:lang w:val="ru-RU" w:eastAsia="en-US" w:bidi="en-US"/>
    </w:rPr>
  </w:style>
  <w:style w:type="paragraph" w:styleId="661">
    <w:name w:val="Верхний и нижний колонтитулы"/>
    <w:basedOn w:val="616"/>
    <w:qFormat/>
  </w:style>
  <w:style w:type="paragraph" w:styleId="662">
    <w:name w:val="Header"/>
    <w:basedOn w:val="616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63">
    <w:name w:val="Footer"/>
    <w:basedOn w:val="616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64">
    <w:name w:val="Caption"/>
    <w:uiPriority w:val="35"/>
    <w:semiHidden/>
    <w:unhideWhenUsed/>
    <w:qFormat/>
    <w:pPr>
      <w:jc w:val="left"/>
      <w:spacing w:before="0" w:after="0" w:line="276" w:lineRule="auto"/>
      <w:widowControl/>
    </w:pPr>
    <w:rPr>
      <w:rFonts w:ascii="Times New Roman" w:hAnsi="Times New Roman" w:eastAsia="Times New Roman" w:cs="Times New Roman"/>
      <w:b/>
      <w:bCs/>
      <w:color w:val="4f81bd"/>
      <w:sz w:val="18"/>
      <w:szCs w:val="18"/>
      <w:lang w:val="ru-RU" w:eastAsia="en-US" w:bidi="en-US"/>
    </w:rPr>
  </w:style>
  <w:style w:type="paragraph" w:styleId="665">
    <w:name w:val="footnote text"/>
    <w:uiPriority w:val="99"/>
    <w:semiHidden/>
    <w:unhideWhenUsed/>
    <w:pPr>
      <w:jc w:val="left"/>
      <w:spacing w:before="0" w:after="40"/>
      <w:widowControl/>
    </w:pPr>
    <w:rPr>
      <w:rFonts w:ascii="Times New Roman" w:hAnsi="Times New Roman" w:eastAsia="Times New Roman" w:cs="Times New Roman"/>
      <w:color w:val="auto"/>
      <w:sz w:val="18"/>
      <w:szCs w:val="22"/>
      <w:lang w:val="ru-RU" w:eastAsia="en-US" w:bidi="en-US"/>
    </w:rPr>
  </w:style>
  <w:style w:type="paragraph" w:styleId="666">
    <w:name w:val="toc 1"/>
    <w:uiPriority w:val="39"/>
    <w:unhideWhenUsed/>
    <w:pPr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67">
    <w:name w:val="toc 2"/>
    <w:uiPriority w:val="39"/>
    <w:unhideWhenUsed/>
    <w:pPr>
      <w:ind w:left="283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68">
    <w:name w:val="toc 3"/>
    <w:uiPriority w:val="39"/>
    <w:unhideWhenUsed/>
    <w:pPr>
      <w:ind w:left="567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69">
    <w:name w:val="toc 4"/>
    <w:uiPriority w:val="39"/>
    <w:unhideWhenUsed/>
    <w:pPr>
      <w:ind w:left="850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0">
    <w:name w:val="toc 5"/>
    <w:uiPriority w:val="39"/>
    <w:unhideWhenUsed/>
    <w:pPr>
      <w:ind w:left="1134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1">
    <w:name w:val="toc 6"/>
    <w:uiPriority w:val="39"/>
    <w:unhideWhenUsed/>
    <w:pPr>
      <w:ind w:left="1417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2">
    <w:name w:val="toc 7"/>
    <w:uiPriority w:val="39"/>
    <w:unhideWhenUsed/>
    <w:pPr>
      <w:ind w:left="1701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3">
    <w:name w:val="toc 8"/>
    <w:uiPriority w:val="39"/>
    <w:unhideWhenUsed/>
    <w:pPr>
      <w:ind w:left="1984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4">
    <w:name w:val="toc 9"/>
    <w:uiPriority w:val="39"/>
    <w:unhideWhenUsed/>
    <w:pPr>
      <w:ind w:left="2268" w:firstLine="0"/>
      <w:jc w:val="left"/>
      <w:spacing w:before="0" w:after="57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676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Times New Roman"/>
      <w:color w:val="auto"/>
      <w:sz w:val="20"/>
      <w:szCs w:val="22"/>
      <w:lang w:val="ru-RU" w:eastAsia="ru-RU" w:bidi="ar-SA"/>
    </w:rPr>
  </w:style>
  <w:style w:type="paragraph" w:styleId="677">
    <w:name w:val="Balloon Text"/>
    <w:basedOn w:val="616"/>
    <w:semiHidden/>
    <w:qFormat/>
    <w:rPr>
      <w:rFonts w:ascii="Tahoma" w:hAnsi="Tahoma"/>
      <w:sz w:val="16"/>
      <w:szCs w:val="16"/>
    </w:rPr>
  </w:style>
  <w:style w:type="paragraph" w:styleId="678" w:customStyle="1">
    <w:name w:val="Знак"/>
    <w:basedOn w:val="616"/>
    <w:qFormat/>
    <w:pPr>
      <w:spacing w:before="0" w:after="160" w:line="240" w:lineRule="exact"/>
    </w:pPr>
    <w:rPr>
      <w:rFonts w:ascii="Verdana" w:hAnsi="Verdana"/>
      <w:szCs w:val="20"/>
      <w:lang w:val="en-US" w:bidi="ar-SA"/>
    </w:rPr>
  </w:style>
  <w:style w:type="paragraph" w:styleId="679" w:customStyle="1">
    <w:name w:val="ConsPlusNormal"/>
    <w:qFormat/>
    <w:pPr>
      <w:jc w:val="left"/>
      <w:spacing w:before="0" w:after="0"/>
      <w:widowControl w:val="off"/>
    </w:pPr>
    <w:rPr>
      <w:rFonts w:ascii="Arial" w:hAnsi="Arial" w:eastAsia="Times New Roman" w:cs="Times New Roman"/>
      <w:color w:val="auto"/>
      <w:sz w:val="16"/>
      <w:szCs w:val="16"/>
      <w:lang w:val="ru-RU" w:eastAsia="ru-RU" w:bidi="ar-SA"/>
    </w:rPr>
  </w:style>
  <w:style w:type="paragraph" w:styleId="680">
    <w:name w:val="Normal (Web)"/>
    <w:basedOn w:val="616"/>
    <w:uiPriority w:val="99"/>
    <w:semiHidden/>
    <w:unhideWhenUsed/>
    <w:qFormat/>
    <w:pPr>
      <w:spacing w:beforeAutospacing="1" w:afterAutospacing="1"/>
    </w:pPr>
    <w:rPr>
      <w:sz w:val="24"/>
      <w:szCs w:val="24"/>
      <w:lang w:eastAsia="ru-RU" w:bidi="ar-SA"/>
    </w:rPr>
  </w:style>
  <w:style w:type="numbering" w:styleId="681" w:default="1">
    <w:name w:val="No List"/>
    <w:uiPriority w:val="99"/>
    <w:semiHidden/>
    <w:unhideWhenUsed/>
    <w:qFormat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"/>
    <w:basedOn w:val="682"/>
    <w:tblPr/>
  </w:style>
  <w:style w:type="table" w:styleId="684" w:customStyle="1">
    <w:name w:val="Table Grid Light"/>
    <w:uiPriority w:val="59"/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uiPriority w:val="59"/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 w:customStyle="1">
    <w:name w:val="Таблица простая 21"/>
    <w:uiPriority w:val="59"/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Таблица простая 3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88" w:customStyle="1">
    <w:name w:val="Таблица простая 4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89" w:customStyle="1">
    <w:name w:val="Таблица простая 5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0" w:customStyle="1">
    <w:name w:val="Таблица-сетка 1 светл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1" w:customStyle="1">
    <w:name w:val="Grid Table 1 Light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2" w:customStyle="1">
    <w:name w:val="Grid Table 1 Light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3" w:customStyle="1">
    <w:name w:val="Grid Table 1 Light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Grid Table 1 Light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1 Light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6" w:customStyle="1">
    <w:name w:val="Grid Table 1 Light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Таблица-сетка 2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2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2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2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2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2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2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Таблица-сетка 3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3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3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3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3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3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3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Таблица-сетка 41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4 - Accent 1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4 - Accent 2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4 - Accent 3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4 - Accent 4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4 - Accent 5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4 - Accent 6"/>
    <w:uiPriority w:val="5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Таблица-сетка 5 темн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5 Dark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5 Dark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5 Dark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5 Dark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5 Dark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5 Dark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Таблица-сетка 6 цветн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6 Colorful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6 Colorful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6 Colorful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6 Colorful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6 Colorful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6 Colorful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Таблица-сетка 7 цветн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7 Colorful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7 Colorful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7 Colorful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7 Colorful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7 Colorful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7 Colorful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Список-таблица 1 светл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List Table 1 Light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List Table 1 Light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List Table 1 Light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List Table 1 Light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1 Light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List Table 1 Light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Список-таблица 2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2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2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2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2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2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2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Список-таблица 3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3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3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3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3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3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3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Список-таблица 4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4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4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4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4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4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4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Список-таблица 5 темн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5 Dark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5 Dark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5 Dark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5 Dark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5 Dark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5 Dark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Список-таблица 6 цветн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6 Colorful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6 Colorful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6 Colorful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6 Colorful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6 Colorful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6 Colorful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Список-таблица 7 цветная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7 Colorful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7 Colorful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7 Colorful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7 Colorful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7 Colorful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7 Colorful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Bordered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- Accent 1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- Accent 2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- Accent 3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- Accent 4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- Accent 5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- Accent 6"/>
    <w:uiPriority w:val="99"/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</dc:creator>
  <dc:description/>
  <dc:language>ru-RU</dc:language>
  <cp:revision>6</cp:revision>
  <dcterms:created xsi:type="dcterms:W3CDTF">2023-03-14T16:07:00Z</dcterms:created>
  <dcterms:modified xsi:type="dcterms:W3CDTF">2023-08-10T09:16:16Z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