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установлении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коэффициента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характеризующего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минимальный процент расчетной величины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суммы налога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добычу полезных ископаемых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расчете на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среднегодовую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мощность 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добывающей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организации</w:t>
      </w:r>
      <w:r/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второй статьи 40 Закона Российской Федерации от 21 февраля 1992 года N 2395-1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недрах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пунктом 5 Методики расчета минимального (стартового) размера разового платежа за пользование недрами, утвержденной приказом Министерств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природных ресурсов и экологии Российской Федерации, Федерального агентства по недропользованию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31 марта 2022 года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242/01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установлении Методики расчета минимального (стартового) размера разового</w:t>
      </w:r>
      <w:r>
        <w:rPr>
          <w:sz w:val="28"/>
          <w:szCs w:val="28"/>
        </w:rPr>
        <w:t xml:space="preserve"> платежа</w:t>
      </w:r>
      <w:r>
        <w:rPr>
          <w:sz w:val="28"/>
          <w:szCs w:val="28"/>
        </w:rPr>
        <w:t xml:space="preserve"> за пользование недрами»</w:t>
      </w:r>
      <w:r>
        <w:rPr>
          <w:sz w:val="28"/>
          <w:szCs w:val="28"/>
        </w:rPr>
        <w:t xml:space="preserve"> </w:t>
      </w:r>
      <w:r>
        <w:rPr>
          <w:b/>
          <w:spacing w:val="100"/>
          <w:sz w:val="28"/>
          <w:szCs w:val="28"/>
        </w:rPr>
        <w:t xml:space="preserve">постановляет</w:t>
      </w:r>
      <w:r>
        <w:rPr>
          <w:b/>
          <w:sz w:val="28"/>
          <w:szCs w:val="28"/>
        </w:rPr>
        <w:t xml:space="preserve">:</w:t>
      </w:r>
      <w:r/>
    </w:p>
    <w:p>
      <w:pPr>
        <w:pStyle w:val="607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В соответствии с пунктом 5 Методики расчета минимального (стартового) размера разового платежа за пользование недрами, утвержденной приказом Министерства природных ресурсов и экологии Российской Федерации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№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242, Федерального агентства по недропользованию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№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1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от 31 марта 2022 года, при определении минимального размера разового платежа за пользование недрами для участков недр местного значения определить значение коэффициента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«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П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»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, характеризующего минимальный процент расчетной величины суммы налога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в расчете на среднегодовую мощность добывающей организации:</w:t>
      </w:r>
      <w:r/>
    </w:p>
    <w:p>
      <w:pPr>
        <w:pStyle w:val="607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1)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для участков недр, содержащих пески и строительный камень,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в размере 1</w:t>
      </w:r>
      <w:r/>
    </w:p>
    <w:p>
      <w:pPr>
        <w:pStyle w:val="607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2) для участков недр, содержащих мел, в размере 0,7</w:t>
      </w:r>
      <w:r/>
    </w:p>
    <w:p>
      <w:pPr>
        <w:pStyle w:val="607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3)для участков недр, содержащих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глины и сугленки</w:t>
      </w:r>
      <w:bookmarkStart w:id="0" w:name="_GoBack"/>
      <w:r/>
      <w:bookmarkEnd w:id="0"/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, в размере 0,5</w:t>
      </w:r>
      <w:r/>
    </w:p>
    <w:p>
      <w:pPr>
        <w:pStyle w:val="607"/>
        <w:ind w:firstLine="720"/>
        <w:jc w:val="both"/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4) для участков недр, содержащих иные общераспространенные полезные ископаемые, установленные совместным распоряжение Минприроды РФ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№ 23-р, Правительст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ва Белгородской области № 3 от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1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июня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2009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года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«Об утверждении перечня общераспространенных полезных ископаемых по Белгородской области», в размере 0,1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 xml:space="preserve">заместителя Губернатора</w:t>
      </w:r>
      <w:r>
        <w:rPr>
          <w:sz w:val="28"/>
          <w:szCs w:val="28"/>
        </w:rPr>
        <w:t xml:space="preserve"> Белгородской области </w:t>
      </w:r>
      <w:r>
        <w:rPr>
          <w:sz w:val="28"/>
          <w:szCs w:val="28"/>
        </w:rPr>
        <w:t xml:space="preserve">Щедрину Ю.Е</w:t>
      </w:r>
      <w:r>
        <w:rPr>
          <w:sz w:val="28"/>
          <w:szCs w:val="28"/>
        </w:rPr>
        <w:t xml:space="preserve">.</w:t>
      </w:r>
      <w:r/>
    </w:p>
    <w:p>
      <w:pPr>
        <w:ind w:firstLine="720"/>
        <w:jc w:val="both"/>
      </w:pPr>
      <w:r>
        <w:rPr>
          <w:sz w:val="28"/>
          <w:szCs w:val="28"/>
        </w:rPr>
        <w:t xml:space="preserve">3. Настоящее постановление вступает в силу со дня его официального опубликования.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875" w:type="dxa"/>
        <w:tblInd w:w="-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4"/>
        <w:gridCol w:w="4248"/>
        <w:gridCol w:w="2373"/>
      </w:tblGrid>
      <w:tr>
        <w:trPr>
          <w:trHeight w:val="542"/>
        </w:trPr>
        <w:tc>
          <w:tcPr>
            <w:tcW w:w="3254" w:type="dxa"/>
            <w:textDirection w:val="lrTb"/>
            <w:noWrap w:val="false"/>
          </w:tcPr>
          <w:p>
            <w:pPr>
              <w:pStyle w:val="609"/>
              <w:ind w:firstLine="0"/>
              <w:jc w:val="center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Губернатор</w:t>
            </w:r>
            <w:r/>
          </w:p>
          <w:p>
            <w:pPr>
              <w:pStyle w:val="609"/>
              <w:ind w:firstLine="0"/>
              <w:jc w:val="center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W w:w="4248" w:type="dxa"/>
            <w:textDirection w:val="lrTb"/>
            <w:noWrap w:val="false"/>
          </w:tcPr>
          <w:p>
            <w:pPr>
              <w:pStyle w:val="609"/>
              <w:ind w:firstLine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W w:w="2373" w:type="dxa"/>
            <w:textDirection w:val="lrTb"/>
            <w:noWrap w:val="false"/>
          </w:tcPr>
          <w:p>
            <w:pPr>
              <w:pStyle w:val="609"/>
              <w:ind w:firstLine="0"/>
              <w:jc w:val="right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pStyle w:val="609"/>
              <w:ind w:firstLine="0"/>
              <w:jc w:val="right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В.В. Гладков</w:t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567" w:bottom="822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character" w:styleId="44">
    <w:name w:val="Footer Char"/>
    <w:basedOn w:val="599"/>
    <w:link w:val="614"/>
    <w:uiPriority w:val="99"/>
  </w:style>
  <w:style w:type="character" w:styleId="46">
    <w:name w:val="Caption Char"/>
    <w:basedOn w:val="605"/>
    <w:link w:val="614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rPr>
      <w:sz w:val="24"/>
      <w:szCs w:val="24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Заголовок"/>
    <w:basedOn w:val="598"/>
    <w:next w:val="60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03">
    <w:name w:val="Body Text"/>
    <w:basedOn w:val="598"/>
    <w:pPr>
      <w:spacing w:after="140" w:line="276" w:lineRule="auto"/>
    </w:pPr>
  </w:style>
  <w:style w:type="paragraph" w:styleId="604">
    <w:name w:val="List"/>
    <w:basedOn w:val="603"/>
    <w:rPr>
      <w:rFonts w:ascii="PT Astra Serif" w:hAnsi="PT Astra Serif" w:cs="Noto Sans Devanagari"/>
    </w:rPr>
  </w:style>
  <w:style w:type="paragraph" w:styleId="605">
    <w:name w:val="Caption"/>
    <w:basedOn w:val="59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606">
    <w:name w:val="index heading"/>
    <w:basedOn w:val="598"/>
    <w:qFormat/>
    <w:pPr>
      <w:suppressLineNumbers/>
    </w:pPr>
    <w:rPr>
      <w:rFonts w:ascii="PT Astra Serif" w:hAnsi="PT Astra Serif" w:cs="Noto Sans Devanagari"/>
    </w:rPr>
  </w:style>
  <w:style w:type="paragraph" w:styleId="607" w:customStyle="1">
    <w:name w:val="ConsPlusTitle"/>
    <w:qFormat/>
    <w:pPr>
      <w:widowControl w:val="off"/>
    </w:pPr>
    <w:rPr>
      <w:rFonts w:ascii="Arial" w:hAnsi="Arial" w:cs="Arial"/>
      <w:b/>
      <w:bCs/>
    </w:rPr>
  </w:style>
  <w:style w:type="paragraph" w:styleId="60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609" w:customStyle="1">
    <w:name w:val="Абзац_письма"/>
    <w:basedOn w:val="598"/>
    <w:qFormat/>
    <w:pPr>
      <w:ind w:firstLine="709"/>
      <w:jc w:val="both"/>
      <w:spacing w:line="360" w:lineRule="auto"/>
      <w:widowControl w:val="off"/>
    </w:pPr>
    <w:rPr>
      <w:sz w:val="26"/>
      <w:szCs w:val="20"/>
    </w:rPr>
  </w:style>
  <w:style w:type="paragraph" w:styleId="610" w:customStyle="1">
    <w:name w:val="No Spacing"/>
    <w:basedOn w:val="598"/>
    <w:qFormat/>
    <w:pPr>
      <w:spacing w:beforeAutospacing="1" w:afterAutospacing="1"/>
    </w:pPr>
  </w:style>
  <w:style w:type="paragraph" w:styleId="611" w:customStyle="1">
    <w:name w:val="Основной текст (5)"/>
    <w:basedOn w:val="598"/>
    <w:qFormat/>
    <w:pPr>
      <w:jc w:val="center"/>
      <w:spacing w:after="2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612" w:customStyle="1">
    <w:name w:val="Колонтитул"/>
    <w:basedOn w:val="598"/>
    <w:qFormat/>
    <w:pPr>
      <w:spacing w:line="240" w:lineRule="exact"/>
      <w:shd w:val="clear" w:color="auto" w:fill="ffffff"/>
      <w:widowControl w:val="off"/>
    </w:pPr>
    <w:rPr>
      <w:sz w:val="19"/>
      <w:szCs w:val="19"/>
    </w:rPr>
  </w:style>
  <w:style w:type="paragraph" w:styleId="613" w:customStyle="1">
    <w:name w:val="Верхний и нижний колонтитулы"/>
    <w:basedOn w:val="598"/>
    <w:qFormat/>
  </w:style>
  <w:style w:type="paragraph" w:styleId="614">
    <w:name w:val="Footer"/>
    <w:basedOn w:val="613"/>
  </w:style>
  <w:style w:type="table" w:styleId="615">
    <w:name w:val="Table Grid"/>
    <w:basedOn w:val="6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chuprina</dc:creator>
  <dc:language>ru-RU</dc:language>
  <cp:revision>7</cp:revision>
  <dcterms:created xsi:type="dcterms:W3CDTF">2023-08-31T11:41:00Z</dcterms:created>
  <dcterms:modified xsi:type="dcterms:W3CDTF">2023-09-29T07:48:16Z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