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чет издержек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814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государственной поддержки: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SimSun"/>
          <w:bCs/>
          <w:sz w:val="26"/>
          <w:szCs w:val="26"/>
        </w:rPr>
      </w:pPr>
      <w:r>
        <w:rPr>
          <w:rFonts w:ascii="Times New Roman" w:hAnsi="Times New Roman" w:eastAsia="SimSun"/>
          <w:bCs/>
          <w:sz w:val="26"/>
          <w:szCs w:val="26"/>
        </w:rPr>
        <w:t xml:space="preserve">Предоставление субсидий из областного бюджета на условиях </w:t>
      </w:r>
      <w:r>
        <w:rPr>
          <w:rFonts w:ascii="Times New Roman" w:hAnsi="Times New Roman"/>
          <w:color w:val="000000"/>
          <w:sz w:val="26"/>
          <w:szCs w:val="26"/>
        </w:rPr>
        <w:t xml:space="preserve">расходных обязательств Белгородской области за счет средств федерального бюджета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по возмещению части затрат сельскохозяйственных това</w:t>
      </w:r>
      <w:r>
        <w:rPr>
          <w:rFonts w:ascii="Times New Roman" w:hAnsi="Times New Roman"/>
          <w:color w:val="000000"/>
          <w:sz w:val="26"/>
          <w:szCs w:val="26"/>
        </w:rPr>
        <w:t xml:space="preserve">ропроизводителей </w:t>
      </w:r>
      <w:r>
        <w:rPr>
          <w:rFonts w:ascii="Times New Roman" w:hAnsi="Times New Roman"/>
          <w:sz w:val="26"/>
          <w:szCs w:val="26"/>
        </w:rPr>
        <w:t xml:space="preserve">(за исключением граждан, ведущих личное подсобное хозяйство, </w:t>
      </w:r>
      <w:r>
        <w:rPr>
          <w:rFonts w:ascii="Times New Roman" w:hAnsi="Times New Roman"/>
          <w:sz w:val="26"/>
          <w:szCs w:val="26"/>
        </w:rPr>
        <w:t xml:space="preserve">и сельскохозяйственных кредитных потребительских кооперативов), на закладку и </w:t>
      </w:r>
      <w:r>
        <w:rPr>
          <w:rFonts w:ascii="Times New Roman" w:hAnsi="Times New Roman"/>
          <w:sz w:val="26"/>
          <w:szCs w:val="26"/>
        </w:rPr>
        <w:t xml:space="preserve">(или) уход за многолетними насаждениями (до вступления в товарное плодоношение, но не более 3 лет с </w:t>
      </w:r>
      <w:r>
        <w:rPr>
          <w:rFonts w:ascii="Times New Roman" w:hAnsi="Times New Roman"/>
          <w:sz w:val="26"/>
          <w:szCs w:val="26"/>
        </w:rPr>
        <w:t xml:space="preserve">момента закладки для садов интенсивного типа), включая питомники, за исключением закладки и ухода за</w:t>
      </w:r>
      <w:r>
        <w:rPr>
          <w:rFonts w:ascii="Times New Roman" w:hAnsi="Times New Roman"/>
          <w:sz w:val="26"/>
          <w:szCs w:val="26"/>
        </w:rPr>
        <w:t xml:space="preserve"> виноградниками, в том числе на установку шпалеры и (или</w:t>
      </w:r>
      <w:r>
        <w:rPr>
          <w:rFonts w:ascii="Times New Roman" w:hAnsi="Times New Roman"/>
          <w:sz w:val="26"/>
          <w:szCs w:val="26"/>
        </w:rPr>
        <w:t xml:space="preserve">) противоградовой сетки (включая стоимость шпалеры и (или) стоимость противоградовой сетки), и (или)</w:t>
      </w:r>
      <w:r>
        <w:rPr>
          <w:rFonts w:ascii="Times New Roman" w:hAnsi="Times New Roman"/>
          <w:sz w:val="26"/>
          <w:szCs w:val="26"/>
        </w:rPr>
        <w:t xml:space="preserve"> раскорчевку выбывших из эксплуатации многолетних насаждений (в возрасте </w:t>
        <w:br w:type="textWrapping" w:clear="all"/>
        <w:t xml:space="preserve">20 лет и более начиная с г</w:t>
      </w:r>
      <w:r>
        <w:rPr>
          <w:rFonts w:ascii="Times New Roman" w:hAnsi="Times New Roman"/>
          <w:sz w:val="26"/>
          <w:szCs w:val="26"/>
        </w:rPr>
        <w:t xml:space="preserve">ода закладки при условии наличия </w:t>
        <w:br w:type="textWrapping" w:clear="all"/>
        <w:t xml:space="preserve">у сельскохозяйственных</w:t>
      </w:r>
      <w:r>
        <w:rPr>
          <w:rFonts w:ascii="Times New Roman" w:hAnsi="Times New Roman"/>
          <w:sz w:val="26"/>
          <w:szCs w:val="26"/>
        </w:rPr>
        <w:t xml:space="preserve"> товаропроизводителей проекта на закладку многолетних насаждений на раскорчеванной площади)</w:t>
      </w:r>
      <w:r>
        <w:rPr>
          <w:rFonts w:ascii="Times New Roman" w:hAnsi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SimSun"/>
          <w:bCs/>
          <w:sz w:val="26"/>
          <w:szCs w:val="26"/>
        </w:rPr>
      </w:r>
      <w:r/>
    </w:p>
    <w:p>
      <w:pPr>
        <w:pStyle w:val="814"/>
        <w:ind w:left="0" w:right="0" w:firstLine="0"/>
        <w:jc w:val="both"/>
        <w:spacing w:after="0" w:line="240" w:lineRule="auto"/>
        <w:rPr>
          <w:rFonts w:ascii="Times New Roman" w:hAnsi="Times New Roman" w:eastAsia="SimSun"/>
          <w:b/>
          <w:sz w:val="26"/>
          <w:szCs w:val="26"/>
        </w:rPr>
      </w:pPr>
      <w:r>
        <w:rPr>
          <w:rFonts w:ascii="Times New Roman" w:hAnsi="Times New Roman" w:eastAsia="SimSun"/>
          <w:b/>
          <w:sz w:val="26"/>
          <w:szCs w:val="26"/>
        </w:rPr>
        <w:t xml:space="preserve">Максимальный р</w:t>
      </w:r>
      <w:r>
        <w:rPr>
          <w:rFonts w:ascii="Times New Roman" w:hAnsi="Times New Roman" w:eastAsia="SimSun"/>
          <w:b/>
          <w:sz w:val="26"/>
          <w:szCs w:val="26"/>
        </w:rPr>
        <w:t xml:space="preserve">азмер предоставляемо</w:t>
      </w:r>
      <w:r>
        <w:rPr>
          <w:rFonts w:ascii="Times New Roman" w:hAnsi="Times New Roman" w:eastAsia="SimSun"/>
          <w:b/>
          <w:sz w:val="26"/>
          <w:szCs w:val="26"/>
        </w:rPr>
        <w:t xml:space="preserve">й</w:t>
      </w:r>
      <w:r>
        <w:rPr>
          <w:rFonts w:ascii="Times New Roman" w:hAnsi="Times New Roman" w:eastAsia="SimSun"/>
          <w:b/>
          <w:sz w:val="26"/>
          <w:szCs w:val="26"/>
        </w:rPr>
        <w:t xml:space="preserve"> </w:t>
      </w:r>
      <w:r>
        <w:rPr>
          <w:rFonts w:ascii="Times New Roman" w:hAnsi="Times New Roman" w:eastAsia="SimSun"/>
          <w:b/>
          <w:sz w:val="26"/>
          <w:szCs w:val="26"/>
        </w:rPr>
        <w:t xml:space="preserve">субсидии</w:t>
      </w:r>
      <w:r>
        <w:rPr>
          <w:rFonts w:ascii="Times New Roman" w:hAnsi="Times New Roman" w:eastAsia="SimSun"/>
          <w:b/>
          <w:sz w:val="26"/>
          <w:szCs w:val="26"/>
        </w:rPr>
        <w:t xml:space="preserve">: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SimSun"/>
          <w:sz w:val="26"/>
          <w:szCs w:val="26"/>
        </w:rPr>
      </w:pPr>
      <w:r>
        <w:rPr>
          <w:rFonts w:ascii="Times New Roman" w:hAnsi="Times New Roman" w:eastAsia="SimSun"/>
          <w:sz w:val="26"/>
          <w:szCs w:val="26"/>
        </w:rPr>
        <w:t xml:space="preserve">В расчете из базовой ставки предос</w:t>
      </w:r>
      <w:r>
        <w:rPr>
          <w:rFonts w:ascii="Times New Roman" w:hAnsi="Times New Roman" w:eastAsia="SimSun"/>
          <w:sz w:val="26"/>
          <w:szCs w:val="26"/>
        </w:rPr>
        <w:t xml:space="preserve">тавления субсидии, но не более </w:t>
      </w:r>
      <w:r>
        <w:rPr>
          <w:rFonts w:ascii="Times New Roman" w:hAnsi="Times New Roman" w:eastAsia="SimSun"/>
          <w:sz w:val="26"/>
          <w:szCs w:val="26"/>
        </w:rPr>
        <w:t xml:space="preserve">9</w:t>
      </w:r>
      <w:r>
        <w:rPr>
          <w:rFonts w:ascii="Times New Roman" w:hAnsi="Times New Roman" w:eastAsia="SimSun"/>
          <w:sz w:val="26"/>
          <w:szCs w:val="26"/>
        </w:rPr>
        <w:t xml:space="preserve">0% фактически понесенных затрат получателя субсидии.</w:t>
      </w:r>
      <w:r>
        <w:rPr>
          <w:rFonts w:ascii="Times New Roman" w:hAnsi="Times New Roman" w:eastAsia="SimSun"/>
          <w:sz w:val="26"/>
          <w:szCs w:val="26"/>
        </w:rPr>
      </w:r>
      <w:r/>
    </w:p>
    <w:p>
      <w:pPr>
        <w:pStyle w:val="814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документов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раз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ед.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 202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Дейс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твия: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Предоставление пак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ета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документ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предоставление субсидии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обязательство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копия налоговой декларации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копии актов апробации и (или) прото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колов испытаний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 копия инвентаризационной описи многолетних насаждений, в том числе питомн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иков, выполненные по формам, утвержденным приказом Минсельхоза России от 25 сентября 1995 г. № 271 «Об утверждении ведомственных фо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рм по инвентаризации основных средств»</w:t>
      </w:r>
      <w: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 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справка органа местного самоуправления о пространственной изол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яции от плодоносящих насаждений с приложением картографического материала (для маточников различных типов, севооборотов полей формирования и школы се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янцев)</w:t>
      </w:r>
      <w: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копия книги питомника культур с приложением схемы размещения культур (для маточников и питомников различных типов)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копии аттестатов на базисное и (или) исходное растение,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опия подтверждения фитосанитарного требования для посадочного материала, а также отсутствия вредоносных вирусов (для базисных растений),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копии актов об использовании минеральных, органических и бактериальных удобрений, ср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едств защиты растений, внесенных при закладке и (или) уходу за многолетними насаждениями, заверенные участником отбора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проект на закладку питомника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/час;</w:t>
      </w:r>
      <w:r/>
    </w:p>
    <w:p>
      <w:pPr>
        <w:pStyle w:val="814"/>
        <w:ind w:firstLine="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41 380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руб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Средняя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стоимость часа работы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235,11 рубля (41 380/22 рабочих дня/ 8 рабочих часов).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Стоимость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требования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10,47 тыс. руб. (4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чел./часов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*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235,11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/>
    </w:p>
    <w:p>
      <w:pPr>
        <w:pStyle w:val="814"/>
        <w:spacing w:after="0" w:line="240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/>
    </w:p>
    <w:p>
      <w:pPr>
        <w:pStyle w:val="814"/>
        <w:ind w:firstLine="709"/>
        <w:jc w:val="both"/>
        <w:spacing w:after="0" w:line="240" w:lineRule="auto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Финансирование в полном объеме </w:t>
      </w:r>
      <w:r>
        <w:rPr>
          <w:rFonts w:ascii="Times New Roman" w:hAnsi="Times New Roman"/>
          <w:color w:val="000000"/>
          <w:sz w:val="26"/>
          <w:szCs w:val="26"/>
        </w:rPr>
        <w:t xml:space="preserve">заложено </w:t>
      </w: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закон </w:t>
      </w:r>
      <w:r>
        <w:rPr>
          <w:rFonts w:ascii="Times New Roman" w:hAnsi="Times New Roman"/>
          <w:color w:val="000000"/>
          <w:sz w:val="26"/>
          <w:szCs w:val="26"/>
        </w:rPr>
        <w:t xml:space="preserve">Белгородской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Закон Белгородской области от 23 декабря 2022 </w:t>
      </w:r>
      <w:r>
        <w:rPr>
          <w:rFonts w:ascii="Times New Roman" w:hAnsi="Times New Roman"/>
          <w:color w:val="000000"/>
          <w:sz w:val="26"/>
          <w:szCs w:val="26"/>
        </w:rPr>
        <w:t xml:space="preserve">года № 246 «Об областном бюджете на 2023 год и на плановый период 2024 и 2025 годов»</w:t>
      </w:r>
      <w:r>
        <w:rPr>
          <w:rFonts w:ascii="Times New Roman" w:hAnsi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</w:t>
      </w:r>
      <w:r>
        <w:rPr>
          <w:rFonts w:ascii="Times New Roman" w:hAnsi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/>
          <w:color w:val="000000"/>
          <w:sz w:val="26"/>
          <w:szCs w:val="26"/>
        </w:rPr>
        <w:t xml:space="preserve">3</w:t>
      </w:r>
      <w:r>
        <w:rPr>
          <w:rFonts w:ascii="Times New Roman" w:hAnsi="Times New Roman"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данные виды поддержки </w:t>
      </w:r>
      <w:r>
        <w:rPr>
          <w:rFonts w:ascii="Times New Roman" w:hAnsi="Times New Roman"/>
          <w:color w:val="000000"/>
          <w:sz w:val="26"/>
          <w:szCs w:val="26"/>
        </w:rPr>
        <w:t xml:space="preserve">предусматривается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315,</w:t>
      </w:r>
      <w:r>
        <w:rPr>
          <w:rFonts w:ascii="Times New Roman" w:hAnsi="Times New Roman"/>
          <w:iCs/>
          <w:sz w:val="26"/>
          <w:szCs w:val="26"/>
          <w:lang w:eastAsia="ru-RU"/>
        </w:rPr>
        <w:t xml:space="preserve">14 млн.</w:t>
      </w:r>
      <w:r>
        <w:rPr>
          <w:rFonts w:ascii="Times New Roman" w:hAnsi="Times New Roman"/>
          <w:iCs/>
          <w:sz w:val="26"/>
          <w:szCs w:val="26"/>
          <w:lang w:eastAsia="ru-RU"/>
        </w:rPr>
        <w:t xml:space="preserve"> руб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paragraph" w:styleId="818">
    <w:name w:val="Текст выноски"/>
    <w:basedOn w:val="814"/>
    <w:next w:val="818"/>
    <w:link w:val="81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19">
    <w:name w:val="Текст выноски Знак"/>
    <w:next w:val="819"/>
    <w:link w:val="818"/>
    <w:uiPriority w:val="99"/>
    <w:semiHidden/>
    <w:rPr>
      <w:rFonts w:ascii="Segoe UI" w:hAnsi="Segoe UI" w:cs="Segoe UI"/>
      <w:sz w:val="18"/>
      <w:szCs w:val="18"/>
    </w:rPr>
  </w:style>
  <w:style w:type="character" w:styleId="820">
    <w:name w:val="Гиперссылка"/>
    <w:next w:val="820"/>
    <w:link w:val="814"/>
    <w:uiPriority w:val="99"/>
    <w:semiHidden/>
    <w:unhideWhenUsed/>
    <w:rPr>
      <w:color w:val="0563c1"/>
      <w:u w:val="single"/>
    </w:rPr>
  </w:style>
  <w:style w:type="paragraph" w:styleId="821">
    <w:name w:val="ConsPlusNormal"/>
    <w:next w:val="821"/>
    <w:link w:val="814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2023-10-06T17:28:00Z</dcterms:created>
  <dcterms:modified xsi:type="dcterms:W3CDTF">2023-10-10T08:33:25Z</dcterms:modified>
  <cp:version>1048576</cp:version>
</cp:coreProperties>
</file>