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выгод недропользователей при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Название требования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</w:rPr>
        <w:t xml:space="preserve">Уплата минимального размера стартового платежа </w:t>
      </w:r>
      <w:r>
        <w:rPr>
          <w:rFonts w:ascii="Times New Roman" w:hAnsi="Times New Roman" w:eastAsia="SimSun"/>
          <w:sz w:val="28"/>
          <w:szCs w:val="28"/>
        </w:rPr>
        <w:t xml:space="preserve">для подаче заявки на участие в аукционе на право пользования участками недр общераспространенных полезных ископаемых местного значения при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rPr>
          <w:rFonts w:ascii="Times New Roman" w:hAnsi="Times New Roman" w:eastAsia="SimSun"/>
          <w:sz w:val="28"/>
          <w:szCs w:val="28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 раз при проведен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 ау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кциона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Style w:val="81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2"/>
        <w:gridCol w:w="4444"/>
      </w:tblGrid>
      <w:tr>
        <w:trPr>
          <w:trHeight w:val="379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Без установления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при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=1</w:t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ind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При установленном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коэффициенте, характеризующем минимальный процент расчетной величины суммы налога на добычу полезных ископаемых в расчете на среднегодовую мощность добывающей организации:</w:t>
            </w:r>
            <w:r/>
          </w:p>
          <w:p>
            <w:pPr>
              <w:pStyle w:val="822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bidi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1) для участков недр, содержащих пески и строительный камень 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=1</w:t>
            </w:r>
            <w:r/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2)для участков недр, содержащих глины 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сугленки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=0,5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822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bidi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3) для участков недр, содержащих мел 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=0,7</w:t>
            </w:r>
            <w:r/>
          </w:p>
        </w:tc>
      </w:tr>
      <w:tr>
        <w:trPr>
          <w:trHeight w:val="6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Объем полезного ископаемого, м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:</w:t>
            </w:r>
            <w:r/>
          </w:p>
        </w:tc>
      </w:tr>
      <w:tr>
        <w:trPr>
          <w:trHeight w:val="60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500 000</w:t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500 000</w:t>
            </w:r>
            <w:r/>
          </w:p>
        </w:tc>
      </w:tr>
      <w:tr>
        <w:trPr>
          <w:trHeight w:val="6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Категория запасов:</w:t>
            </w:r>
            <w:r/>
          </w:p>
        </w:tc>
      </w:tr>
      <w:tr>
        <w:trPr>
          <w:trHeight w:val="63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bscript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vertAlign w:val="subscript"/>
                <w:lang w:eastAsia="ru-RU"/>
              </w:rPr>
              <w:t xml:space="preserve">2</w:t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vertAlign w:val="subscript"/>
                <w:lang w:eastAsia="ru-RU"/>
              </w:rPr>
              <w:t xml:space="preserve">2</w:t>
            </w:r>
            <w:r/>
          </w:p>
        </w:tc>
      </w:tr>
      <w:tr>
        <w:trPr>
          <w:trHeight w:val="60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Стоимость единицы полезного ископаемого:</w:t>
            </w:r>
            <w:r/>
          </w:p>
        </w:tc>
      </w:tr>
      <w:tr>
        <w:trPr>
          <w:trHeight w:val="189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left="26" w:firstLine="11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Цср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269,87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 xml:space="preserve">3</w:t>
            </w:r>
            <w:r/>
          </w:p>
          <w:p>
            <w:pPr>
              <w:ind w:left="26" w:firstLine="11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Цср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315,94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 xml:space="preserve">3</w:t>
            </w:r>
            <w:r/>
          </w:p>
          <w:p>
            <w:pPr>
              <w:ind w:hanging="26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vertAlign w:val="superscript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Цср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906,22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 xml:space="preserve">3</w:t>
            </w:r>
            <w:r/>
          </w:p>
          <w:p>
            <w:pPr>
              <w:ind w:hanging="26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vertAlign w:val="superscript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vertAlign w:val="superscript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Перево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запасов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из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прог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нозных в условные запасы</w:t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АВС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vertAlign w:val="subscript"/>
                <w:lang w:eastAsia="ru-RU"/>
              </w:rPr>
              <w:t xml:space="preserve">1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усл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=0,125*Р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vertAlign w:val="subscript"/>
                <w:lang w:eastAsia="ru-RU"/>
              </w:rPr>
              <w:t xml:space="preserve">2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Cs/>
                <w:sz w:val="28"/>
                <w:szCs w:val="28"/>
                <w:lang w:eastAsia="ru-RU"/>
              </w:rPr>
              <w:t xml:space="preserve">62</w:t>
            </w:r>
            <w:r>
              <w:rPr>
                <w:rFonts w:ascii="PT Astra Serif" w:hAnsi="PT Astra Serif" w:eastAsia="Times New Roman" w:cs="PT Astra Serif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Cs/>
                <w:sz w:val="28"/>
                <w:szCs w:val="28"/>
                <w:lang w:eastAsia="ru-RU"/>
              </w:rPr>
              <w:t xml:space="preserve">500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Среднегодовая мощность добывающей организации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З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– отношение количества условных запасов полезного ископаемого к содержанию полезного ископаемого)</w:t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val="en-US" w:eastAsia="ru-RU"/>
              </w:rPr>
              <w:t xml:space="preserve">V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ср=</w:t>
            </w:r>
            <m:oMath>
              <m:f>
                <m:fPr>
                  <m:ctrlPr>
                    <w:rPr>
                      <w:rFonts w:ascii="Cambria Math" w:hAnsi="Cambria Math" w:eastAsia="Times New Roman" w:cs="PT Astra Serif"/>
                      <w:b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eastAsia="Times New Roman" w:cs="Cambria Math"/>
                      <w:sz w:val="28"/>
                      <w:szCs w:val="28"/>
                      <w:lang w:eastAsia="ru-RU"/>
                    </w:rPr>
                    <m:rPr>
                      <m:sty m:val="p"/>
                    </m:rPr>
                    <m:t>З</m:t>
                  </m:r>
                </m:num>
                <m:den>
                  <m: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  <m:rPr>
                      <m:sty m:val="bi"/>
                    </m:rPr>
                    <m:t>0,2*∜З</m:t>
                  </m:r>
                </m:den>
              </m:f>
            </m:oMath>
            <w:r/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19 764,1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Расчетная величина суммы налога на добычу полезных ископаемых в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расчете на среднегодовую мощность добывающей организации</w:t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НДПИгод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Цпи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val="en-US" w:eastAsia="ru-RU"/>
              </w:rPr>
              <w:t xml:space="preserve">V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ср*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Сндпист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Сндпист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в соответствии с Налоговым кодексом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равен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5,5%)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293 355,57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343 434,84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985 084,25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Минимальный размер разового платежа за пользование недрами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РПмин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НДПИгод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: </w:t>
            </w:r>
            <w:r/>
          </w:p>
        </w:tc>
      </w:tr>
      <w:tr>
        <w:trPr>
          <w:trHeight w:val="50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293 354,09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343 434,84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985 084,25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293 354,09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171</w:t>
            </w:r>
            <w:bookmarkStart w:id="0" w:name="_GoBack"/>
            <w:r/>
            <w:bookmarkEnd w:id="0"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 717,42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68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 558,98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Поправочный коэффициент, выражающий степень изученности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Кизуч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*</w:t>
            </w:r>
            <m:oMath>
              <m:f>
                <m:fPr>
                  <m:ctrlP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  <m:rPr>
                      <m:sty m:val="bi"/>
                    </m:rPr>
                    <m:t>РБр</m:t>
                  </m:r>
                </m:num>
                <m:den>
                  <m: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  <m:rPr>
                      <m:sty m:val="b"/>
                    </m:rPr>
                    <m:t>РБсумм</m:t>
                  </m:r>
                </m:den>
              </m:f>
            </m:oMath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 </w:t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(К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для Р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vertAlign w:val="subscript"/>
                <w:lang w:eastAsia="ru-RU"/>
              </w:rPr>
              <w:t xml:space="preserve">2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равен 2)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2</w:t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Интегральный поправочный коэффициент </w:t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Кинт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изуч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Кинфр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/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Кинфр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для прогнозных полезных ископаемых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равен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1)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:</w:t>
            </w:r>
            <w:r/>
          </w:p>
        </w:tc>
      </w:tr>
      <w:tr>
        <w:trPr>
          <w:trHeight w:val="50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2</w:t>
            </w:r>
            <w:r/>
          </w:p>
        </w:tc>
      </w:tr>
      <w:tr>
        <w:trPr>
          <w:trHeight w:val="63"/>
        </w:trPr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Стартовый размер разового платежа </w:t>
            </w:r>
            <w:r/>
          </w:p>
          <w:p>
            <w:pPr>
              <w:jc w:val="center"/>
              <w:rPr>
                <w:rFonts w:ascii="PT Astra Serif" w:hAnsi="PT Astra Serif" w:cs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РПстарт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РПмин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Кинт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: </w:t>
            </w:r>
            <w:r/>
          </w:p>
        </w:tc>
      </w:tr>
      <w:tr>
        <w:trPr>
          <w:trHeight w:val="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2" w:type="dxa"/>
            <w:textDirection w:val="lrTb"/>
            <w:noWrap w:val="false"/>
          </w:tcPr>
          <w:p>
            <w:pPr>
              <w:ind w:left="26" w:hanging="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586 708,18 руб.</w:t>
            </w:r>
            <w:r/>
          </w:p>
          <w:p>
            <w:pPr>
              <w:ind w:left="26" w:hanging="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686 869,68 руб.</w:t>
            </w:r>
            <w:r/>
          </w:p>
          <w:p>
            <w:pPr>
              <w:ind w:left="26" w:hanging="2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1 970 168,5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dxa"/>
            <w:textDirection w:val="lrTb"/>
            <w:noWrap w:val="false"/>
          </w:tcPr>
          <w:p>
            <w:pPr>
              <w:ind w:left="993" w:hanging="28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586 708,18 руб.</w:t>
            </w:r>
            <w:r/>
          </w:p>
          <w:p>
            <w:pPr>
              <w:ind w:left="993" w:hanging="28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343 434,84 руб.</w:t>
            </w:r>
            <w:r/>
          </w:p>
          <w:p>
            <w:pPr>
              <w:ind w:left="993" w:hanging="284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1 379 117,96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Указанный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пример расчета отображает выгоду недропользователей в части оплаты стартового платежа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пользование участком недр в отношении глины в размере 50%, в отношении мела в размере 30%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 этом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результатам 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роведенного анализа отчетов баланса запасов полезных ископаемых за 2022 год на территории Белгородской области, востребованность общераспространенных полезных ископаемых составляет: песков и строительного камня от 91% до 98%, мела 61%, глины и суглинков 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28% до 47%, иных общераспространенные полезные ископаемые 18% 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менее.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</w:rPr>
        <w:t xml:space="preserve">Данный вариант правового регулирования не предусматривает</w:t>
      </w:r>
      <w:r>
        <w:rPr>
          <w:rFonts w:ascii="Times New Roman" w:hAnsi="Times New Roman" w:eastAsia="SimSun"/>
          <w:sz w:val="28"/>
          <w:szCs w:val="28"/>
        </w:rPr>
        <w:t xml:space="preserve"> </w:t>
      </w:r>
      <w:r>
        <w:rPr>
          <w:rFonts w:ascii="Times New Roman" w:hAnsi="Times New Roman" w:eastAsia="SimSun"/>
          <w:sz w:val="28"/>
          <w:szCs w:val="28"/>
        </w:rPr>
        <w:t xml:space="preserve">возникновение дополнительных расходов</w:t>
      </w:r>
      <w:r>
        <w:rPr>
          <w:rFonts w:ascii="Times New Roman" w:hAnsi="Times New Roman" w:eastAsia="SimSun"/>
          <w:sz w:val="28"/>
          <w:szCs w:val="28"/>
        </w:rPr>
        <w:t xml:space="preserve"> недропользователей</w:t>
      </w:r>
      <w:r>
        <w:rPr>
          <w:rFonts w:ascii="Times New Roman" w:hAnsi="Times New Roman" w:eastAsia="SimSu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851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alibri">
    <w:panose1 w:val="020F0502020204030204"/>
  </w:font>
  <w:font w:name="SimSun">
    <w:panose1 w:val="0200050600000002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customStyle="1">
    <w:name w:val="ConsPlusNormal"/>
    <w:link w:val="816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16" w:customStyle="1">
    <w:name w:val="ConsPlusNormal Знак"/>
    <w:link w:val="815"/>
    <w:rPr>
      <w:rFonts w:ascii="Arial" w:hAnsi="Arial" w:cs="Arial"/>
      <w:sz w:val="20"/>
      <w:szCs w:val="20"/>
    </w:rPr>
  </w:style>
  <w:style w:type="paragraph" w:styleId="817">
    <w:name w:val="Normal (Web)"/>
    <w:basedOn w:val="81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18">
    <w:name w:val="Table Grid"/>
    <w:basedOn w:val="8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9">
    <w:name w:val="Balloon Text"/>
    <w:basedOn w:val="811"/>
    <w:link w:val="8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0" w:customStyle="1">
    <w:name w:val="Текст выноски Знак"/>
    <w:basedOn w:val="812"/>
    <w:link w:val="819"/>
    <w:uiPriority w:val="99"/>
    <w:semiHidden/>
    <w:rPr>
      <w:rFonts w:ascii="Tahoma" w:hAnsi="Tahoma" w:cs="Tahoma"/>
      <w:sz w:val="16"/>
      <w:szCs w:val="16"/>
    </w:rPr>
  </w:style>
  <w:style w:type="character" w:styleId="821">
    <w:name w:val="Placeholder Text"/>
    <w:basedOn w:val="812"/>
    <w:uiPriority w:val="99"/>
    <w:semiHidden/>
    <w:rPr>
      <w:color w:val="808080"/>
    </w:rPr>
  </w:style>
  <w:style w:type="paragraph" w:styleId="822" w:customStyle="1">
    <w:name w:val="ConsPlusTitle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2023-10-02T09:23:00Z</dcterms:created>
  <dcterms:modified xsi:type="dcterms:W3CDTF">2023-10-03T06:19:36Z</dcterms:modified>
</cp:coreProperties>
</file>