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8"/>
        <w:jc w:val="center"/>
        <w:spacing w:before="0" w:after="0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  <w:highlight w:val="none"/>
        </w:rPr>
        <w:t xml:space="preserve">Затраты предпринимателя на организацию пункта питания </w:t>
      </w:r>
      <w: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center"/>
        <w:spacing w:before="0" w:after="0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  <w:highlight w:val="none"/>
        </w:rPr>
        <w:t xml:space="preserve">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регионального технопарка «Контакт»</w:t>
      </w:r>
      <w: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Набор базового инструментария, необходимого для старта проекта, будет зависеть от многих индивидуальных параметров. Однако существует и первостепенный перечень: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tbl>
      <w:tblPr>
        <w:tblStyle w:val="68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282"/>
        <w:gridCol w:w="3072"/>
      </w:tblGrid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Статья начальных расходов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Сумма, тыс. руб.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Получение разрешительных бумаг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Аренда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Кухонное оборудование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300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Компьютер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Программное обеспечение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17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Реклама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Мобильная связь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>
          <w:trHeight w:val="424"/>
        </w:trPr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Заработная плата 3 поваров, 1 кассира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6"/>
                <w:szCs w:val="26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r>
            <w:r>
              <w:rPr>
                <w:b/>
                <w:bCs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6"/>
                <w:szCs w:val="26"/>
              </w:rPr>
              <w:t xml:space="preserve">594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r>
            <w:r>
              <w:rPr>
                <w:b/>
                <w:bCs/>
                <w:color w:val="000000" w:themeColor="text1"/>
                <w:sz w:val="26"/>
                <w:szCs w:val="26"/>
              </w:rPr>
            </w:r>
          </w:p>
        </w:tc>
      </w:tr>
    </w:tbl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4"/>
          <w:szCs w:val="24"/>
        </w:rPr>
        <w:t xml:space="preserve">*Все перечисленные позиции представлены по ценам, актуальным на состояние 2022 года.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Расчет стандартных издержек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заявителей при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участи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в отборе претендентов на заключение договора аренды с региональным технопарком ООО «Контакт»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/>
    </w:p>
    <w:p>
      <w:pPr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6"/>
          <w:szCs w:val="26"/>
        </w:rPr>
        <w:t xml:space="preserve">Названия требования</w:t>
      </w:r>
      <w:r>
        <w:rPr>
          <w:rFonts w:ascii="Times New Roman" w:hAnsi="Times New Roman" w:eastAsia="Times New Roman" w:cs="Times New Roman"/>
          <w:b/>
          <w:bCs w:val="0"/>
          <w:i w:val="0"/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line="240" w:lineRule="auto"/>
        <w:tabs>
          <w:tab w:val="left" w:pos="1418" w:leader="none"/>
        </w:tabs>
        <w:rPr>
          <w:sz w:val="26"/>
          <w:szCs w:val="26"/>
        </w:rPr>
      </w:pP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Представление документов 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для 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участия в отборе претендентов на заключение договора аренды с региональным технопарком ООО «Контакт»</w:t>
      </w:r>
      <w:r>
        <w:rPr>
          <w:rFonts w:ascii="Times New Roman" w:hAnsi="Times New Roman" w:cs="Times New Roman"/>
          <w:bCs w:val="0"/>
          <w:i w:val="0"/>
          <w:iCs/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6"/>
          <w:szCs w:val="26"/>
          <w:shd w:val="clear" w:color="auto" w:fill="ffffff"/>
        </w:rPr>
        <w:t xml:space="preserve">Тип требования</w:t>
      </w:r>
      <w:r>
        <w:rPr>
          <w:rFonts w:ascii="Times New Roman" w:hAnsi="Times New Roman" w:eastAsia="Times New Roman" w:cs="Times New Roman"/>
          <w:b/>
          <w:bCs w:val="0"/>
          <w:i w:val="0"/>
          <w:color w:val="000000"/>
          <w:sz w:val="26"/>
          <w:szCs w:val="26"/>
          <w:shd w:val="clear" w:color="auto" w:fill="ffffff"/>
        </w:rPr>
      </w:r>
      <w:r>
        <w:rPr>
          <w:sz w:val="26"/>
          <w:szCs w:val="26"/>
        </w:rPr>
      </w:r>
    </w:p>
    <w:p>
      <w:pPr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Подготовка и представление документов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6"/>
          <w:szCs w:val="26"/>
          <w:shd w:val="clear" w:color="auto" w:fill="ffffff"/>
        </w:rPr>
      </w:r>
      <w:r>
        <w:rPr>
          <w:sz w:val="26"/>
          <w:szCs w:val="26"/>
        </w:rPr>
      </w:r>
    </w:p>
    <w:p>
      <w:pPr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6"/>
          <w:szCs w:val="26"/>
          <w:shd w:val="clear" w:color="auto" w:fill="ffffff"/>
        </w:rPr>
        <w:t xml:space="preserve">Масштаб: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1</w:t>
      </w:r>
      <w:r>
        <w:rPr>
          <w:rFonts w:ascii="Times New Roman" w:hAnsi="Times New Roman" w:eastAsia="Times New Roman" w:cs="Times New Roman"/>
          <w:bCs w:val="0"/>
          <w:i w:val="0"/>
          <w:iCs/>
          <w:color w:val="000000"/>
          <w:sz w:val="26"/>
          <w:szCs w:val="26"/>
          <w:shd w:val="clear" w:color="auto" w:fill="ffffff"/>
        </w:rPr>
      </w:r>
      <w:r>
        <w:rPr>
          <w:sz w:val="26"/>
          <w:szCs w:val="26"/>
        </w:rPr>
      </w:r>
    </w:p>
    <w:p>
      <w:pPr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6"/>
          <w:szCs w:val="26"/>
          <w:shd w:val="clear" w:color="auto" w:fill="ffffff"/>
        </w:rPr>
        <w:t xml:space="preserve">Действия:</w:t>
      </w:r>
      <w:r>
        <w:rPr>
          <w:rFonts w:ascii="Times New Roman" w:hAnsi="Times New Roman" w:eastAsia="Times New Roman" w:cs="Times New Roman"/>
          <w:b/>
          <w:bCs w:val="0"/>
          <w:i w:val="0"/>
          <w:color w:val="000000"/>
          <w:sz w:val="26"/>
          <w:szCs w:val="26"/>
          <w:shd w:val="clear" w:color="auto" w:fill="ffffff"/>
        </w:rPr>
      </w:r>
      <w:r>
        <w:rPr>
          <w:sz w:val="26"/>
          <w:szCs w:val="26"/>
        </w:rPr>
      </w:r>
    </w:p>
    <w:p>
      <w:pPr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Подготовка документов:</w:t>
      </w:r>
      <w:r>
        <w:rPr>
          <w:rFonts w:ascii="Times New Roman" w:hAnsi="Times New Roman" w:eastAsia="Times New Roman" w:cs="Times New Roman"/>
          <w:bCs w:val="0"/>
          <w:i w:val="0"/>
          <w:iCs/>
          <w:color w:val="000000"/>
          <w:sz w:val="26"/>
          <w:szCs w:val="26"/>
          <w:shd w:val="clear" w:color="auto" w:fill="ffffff"/>
        </w:rPr>
      </w:r>
      <w:r>
        <w:rPr>
          <w:sz w:val="26"/>
          <w:szCs w:val="26"/>
        </w:rPr>
      </w:r>
    </w:p>
    <w:p>
      <w:pPr>
        <w:pStyle w:val="828"/>
        <w:numPr>
          <w:ilvl w:val="0"/>
          <w:numId w:val="10"/>
        </w:numPr>
        <w:ind w:left="0" w:firstLine="709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Подготовка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 заявления на участие в отборе претендентов (конкурсном отборе) и присвоение статуса резидента технопарка по установленной форме с приложением следующих документов:</w:t>
      </w:r>
      <w:r>
        <w:rPr>
          <w:rFonts w:ascii="Times New Roman" w:hAnsi="Times New Roman" w:eastAsia="Times New Roman" w:cs="Times New Roman"/>
          <w:bCs w:val="0"/>
          <w:i w:val="0"/>
          <w:iCs/>
          <w:color w:val="000000"/>
          <w:sz w:val="26"/>
          <w:szCs w:val="26"/>
          <w:shd w:val="clear" w:color="auto" w:fill="ffffff"/>
        </w:rPr>
      </w:r>
      <w:r>
        <w:rPr>
          <w:sz w:val="26"/>
          <w:szCs w:val="26"/>
        </w:rPr>
      </w:r>
    </w:p>
    <w:p>
      <w:pPr>
        <w:pStyle w:val="828"/>
        <w:numPr>
          <w:ilvl w:val="0"/>
          <w:numId w:val="11"/>
        </w:numPr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анкета по установленной форме - 0,5 чел./часа;</w:t>
      </w:r>
      <w:r>
        <w:rPr>
          <w:rFonts w:ascii="Times New Roman" w:hAnsi="Times New Roman" w:eastAsia="Times New Roman" w:cs="Times New Roman"/>
          <w:bCs w:val="0"/>
          <w:i w:val="0"/>
          <w:iCs/>
          <w:color w:val="000000"/>
          <w:sz w:val="26"/>
          <w:szCs w:val="26"/>
          <w:shd w:val="clear" w:color="auto" w:fill="ffffff"/>
        </w:rPr>
      </w:r>
      <w:r>
        <w:rPr>
          <w:sz w:val="26"/>
          <w:szCs w:val="26"/>
        </w:rPr>
      </w:r>
    </w:p>
    <w:p>
      <w:pPr>
        <w:pStyle w:val="828"/>
        <w:numPr>
          <w:ilvl w:val="0"/>
          <w:numId w:val="11"/>
        </w:numPr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копии учредительных документов: устав и изменения к нему, учредительный договор или решение уполномоченного органа о создании организации – для юридических лиц;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свидетельство о государственной регистра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ции юридического лица или индивидуального предпринимателя; свидетельство о постановке на налоговый учет юридического лица или индивидуального предпринимателя (с предъявлением оригиналов указанных документов в случае, если их копии не заверены нотариально)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 - 0,5 чел./часа</w:t>
      </w:r>
      <w:r>
        <w:rPr>
          <w:rFonts w:ascii="Times New Roman" w:hAnsi="Times New Roman" w:eastAsia="Times New Roman" w:cs="Times New Roman"/>
          <w:bCs w:val="0"/>
          <w:i w:val="0"/>
          <w:iCs/>
          <w:color w:val="000000"/>
          <w:sz w:val="26"/>
          <w:szCs w:val="26"/>
          <w:shd w:val="clear" w:color="auto" w:fill="ffffff"/>
        </w:rPr>
        <w:t xml:space="preserve">;</w:t>
      </w:r>
      <w:r>
        <w:rPr>
          <w:sz w:val="26"/>
          <w:szCs w:val="26"/>
        </w:rPr>
      </w:r>
    </w:p>
    <w:p>
      <w:pPr>
        <w:pStyle w:val="828"/>
        <w:numPr>
          <w:ilvl w:val="0"/>
          <w:numId w:val="11"/>
        </w:numPr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выписк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 из единого государственного реестра юридических лиц (индивидуальных предпринимателей), полученную не ранее чем за 30 календарных дней до даты подачи заявки -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 1 чел./час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;</w:t>
      </w:r>
      <w:r>
        <w:rPr>
          <w:rFonts w:ascii="Times New Roman" w:hAnsi="Times New Roman" w:eastAsia="Times New Roman" w:cs="Times New Roman"/>
          <w:bCs w:val="0"/>
          <w:i w:val="0"/>
          <w:iCs/>
          <w:color w:val="000000"/>
          <w:sz w:val="26"/>
          <w:szCs w:val="26"/>
          <w:shd w:val="clear" w:color="auto" w:fill="ffffff"/>
        </w:rPr>
      </w:r>
      <w:r>
        <w:rPr>
          <w:sz w:val="26"/>
          <w:szCs w:val="26"/>
        </w:rPr>
      </w:r>
    </w:p>
    <w:p>
      <w:pPr>
        <w:pStyle w:val="828"/>
        <w:numPr>
          <w:ilvl w:val="0"/>
          <w:numId w:val="11"/>
        </w:numPr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копии документов, подтверждающих полномочия лиц, подписавших и имеющих право подписи документов заявки, заверенные заявителем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-                       0,5 чел./часа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;</w:t>
      </w:r>
      <w:r>
        <w:rPr>
          <w:rFonts w:ascii="Times New Roman" w:hAnsi="Times New Roman" w:eastAsia="Times New Roman" w:cs="Times New Roman"/>
          <w:bCs w:val="0"/>
          <w:i w:val="0"/>
          <w:iCs/>
          <w:color w:val="000000"/>
          <w:sz w:val="26"/>
          <w:szCs w:val="26"/>
          <w:shd w:val="clear" w:color="auto" w:fill="ffffff"/>
        </w:rPr>
      </w:r>
      <w:r>
        <w:rPr>
          <w:sz w:val="26"/>
          <w:szCs w:val="26"/>
        </w:rPr>
      </w:r>
    </w:p>
    <w:p>
      <w:pPr>
        <w:pStyle w:val="828"/>
        <w:numPr>
          <w:ilvl w:val="0"/>
          <w:numId w:val="11"/>
        </w:numPr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презентацию инновационного проекта, подтверждающего целесообразность размещения субъекта малого и среднего предпринимательства в технопарке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- 2 чел./часа.</w:t>
      </w:r>
      <w:r>
        <w:rPr>
          <w:rFonts w:ascii="Times New Roman" w:hAnsi="Times New Roman" w:eastAsia="Times New Roman" w:cs="Times New Roman"/>
          <w:bCs w:val="0"/>
          <w:i w:val="0"/>
          <w:iCs/>
          <w:color w:val="000000"/>
          <w:sz w:val="26"/>
          <w:szCs w:val="26"/>
          <w:shd w:val="clear" w:color="auto" w:fill="ffffff"/>
        </w:rPr>
      </w:r>
      <w:r>
        <w:rPr>
          <w:sz w:val="26"/>
          <w:szCs w:val="26"/>
        </w:rPr>
      </w:r>
    </w:p>
    <w:p>
      <w:pPr>
        <w:pStyle w:val="828"/>
        <w:numPr>
          <w:ilvl w:val="0"/>
          <w:numId w:val="10"/>
        </w:numPr>
        <w:ind w:left="0" w:firstLine="709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Направление заявления о внесении сведений в реестр парковок о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бщего пользования - 0,5 чел./час;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6"/>
          <w:szCs w:val="26"/>
        </w:rPr>
      </w:r>
      <w:r>
        <w:rPr>
          <w:sz w:val="26"/>
          <w:szCs w:val="26"/>
        </w:rPr>
      </w:r>
    </w:p>
    <w:p>
      <w:pPr>
        <w:ind w:left="709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того трудозатрат: 5 чел./часов.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6"/>
          <w:szCs w:val="26"/>
          <w:shd w:val="clear" w:color="auto" w:fill="ffffff"/>
        </w:rPr>
        <w:t xml:space="preserve">Список приобретений: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заключение договора аренды с региональным технопарком ООО «Контакт»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 w:val="0"/>
          <w:i w:val="0"/>
          <w:iCs/>
          <w:color w:val="000000"/>
          <w:sz w:val="26"/>
          <w:szCs w:val="26"/>
          <w:shd w:val="clear" w:color="auto" w:fill="ffffff"/>
        </w:rPr>
      </w:r>
      <w:r>
        <w:rPr>
          <w:sz w:val="26"/>
          <w:szCs w:val="26"/>
        </w:rPr>
      </w:r>
    </w:p>
    <w:p>
      <w:pPr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6"/>
          <w:szCs w:val="26"/>
          <w:shd w:val="clear" w:color="auto" w:fill="ffffff"/>
        </w:rPr>
        <w:t xml:space="preserve">Среднемесяч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6"/>
          <w:szCs w:val="26"/>
          <w:shd w:val="clear" w:color="auto" w:fill="ffffff"/>
        </w:rPr>
        <w:t xml:space="preserve">ная заработная плата по Белгородской области: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41380 рублей.</w:t>
      </w:r>
      <w:r>
        <w:rPr>
          <w:rFonts w:ascii="Times New Roman" w:hAnsi="Times New Roman" w:eastAsia="Times New Roman" w:cs="Times New Roman"/>
          <w:bCs w:val="0"/>
          <w:i w:val="0"/>
          <w:iCs/>
          <w:color w:val="000000"/>
          <w:sz w:val="26"/>
          <w:szCs w:val="26"/>
          <w:shd w:val="clear" w:color="auto" w:fill="ffffff"/>
        </w:rPr>
      </w:r>
      <w:r>
        <w:rPr>
          <w:sz w:val="26"/>
          <w:szCs w:val="26"/>
        </w:rPr>
      </w:r>
    </w:p>
    <w:p>
      <w:pPr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6"/>
          <w:szCs w:val="26"/>
          <w:shd w:val="clear" w:color="auto" w:fill="ffffff"/>
        </w:rPr>
        <w:t xml:space="preserve">Средняя стоимость часа работы: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41380:22:8=235,11рубля.</w:t>
      </w:r>
      <w:r>
        <w:rPr>
          <w:rFonts w:ascii="Times New Roman" w:hAnsi="Times New Roman" w:eastAsia="Times New Roman" w:cs="Times New Roman"/>
          <w:bCs w:val="0"/>
          <w:i w:val="0"/>
          <w:iCs/>
          <w:color w:val="000000"/>
          <w:sz w:val="26"/>
          <w:szCs w:val="26"/>
          <w:shd w:val="clear" w:color="auto" w:fill="ffffff"/>
        </w:rPr>
      </w:r>
      <w:r>
        <w:rPr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6"/>
          <w:szCs w:val="26"/>
          <w:shd w:val="clear" w:color="auto" w:fill="ffffff"/>
        </w:rPr>
        <w:t xml:space="preserve">Стоимость требования: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5 чел./часов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shd w:val="clear" w:color="auto" w:fill="ffffff"/>
        </w:rPr>
        <w:t xml:space="preserve">*235,11 руб.= 1,2 тыс. руб.</w:t>
      </w:r>
      <w:bookmarkStart w:id="0" w:name="undefined"/>
      <w:r>
        <w:rPr>
          <w:i w:val="0"/>
          <w:iCs w:val="0"/>
          <w:sz w:val="26"/>
          <w:szCs w:val="26"/>
        </w:rPr>
      </w:r>
      <w:bookmarkEnd w:id="0"/>
      <w:r>
        <w:rPr>
          <w:rFonts w:ascii="Times New Roman" w:hAnsi="Times New Roman" w:eastAsia="Times New Roman" w:cs="Times New Roman"/>
          <w:b/>
          <w:bCs w:val="0"/>
          <w:i w:val="0"/>
          <w:iCs/>
          <w:color w:val="000000"/>
          <w:sz w:val="26"/>
          <w:szCs w:val="26"/>
          <w:shd w:val="clear" w:color="auto" w:fill="ffffff"/>
        </w:rPr>
      </w:r>
      <w:r>
        <w:rPr>
          <w:sz w:val="26"/>
          <w:szCs w:val="26"/>
        </w:rPr>
      </w:r>
    </w:p>
    <w:p>
      <w:pPr>
        <w:ind w:left="0" w:right="0" w:firstLine="708"/>
        <w:jc w:val="center"/>
        <w:spacing w:before="0" w:after="0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bCs/>
          <w:color w:val="000000" w:themeColor="text1"/>
          <w:sz w:val="26"/>
          <w:szCs w:val="26"/>
          <w:highlight w:val="none"/>
        </w:rPr>
      </w:r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  <w:highlight w:val="none"/>
          <w:u w:val="single"/>
        </w:rPr>
        <w:t xml:space="preserve">Итого: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single"/>
        </w:rPr>
        <w:t xml:space="preserve">затраты предпринимателя на организацию пункта питания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single"/>
        </w:rPr>
      </w:r>
      <w:r>
        <w:rPr>
          <w:b w:val="0"/>
          <w:bCs w:val="0"/>
          <w:u w:val="single"/>
        </w:rPr>
      </w:r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single"/>
        </w:rPr>
        <w:t xml:space="preserve">на территории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регионального технопарка «Контакт»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single"/>
        </w:rPr>
        <w:t xml:space="preserve"> составят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595,2 тыс. руб.</w:t>
      </w:r>
      <w:r>
        <w:rPr>
          <w:u w:val="single"/>
        </w:rPr>
      </w:r>
    </w:p>
    <w:p>
      <w:pPr>
        <w:ind w:left="0" w:right="0"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 w:val="0"/>
          <w:i w:val="0"/>
          <w:iCs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 w:val="0"/>
          <w:i w:val="0"/>
          <w:iCs/>
          <w:color w:val="000000"/>
          <w:sz w:val="28"/>
          <w:szCs w:val="28"/>
          <w:highlight w:val="none"/>
          <w:shd w:val="clear" w:color="auto" w:fill="ffffff"/>
        </w:rPr>
      </w:r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Предприниматель имеющий собственное помещение для пригото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вление пищи и сделавший выбор в пользу открытия собственной доставочной структуры, должен быть готов к большой и достаточно сложной работе. Для реализации всех процедур на самом качественном уровне придется учитывать, в том числе и объем будущих вложений. 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 w:val="0"/>
          <w:i w:val="0"/>
          <w:iCs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 w:val="0"/>
          <w:i w:val="0"/>
          <w:iCs/>
          <w:color w:val="000000"/>
          <w:sz w:val="28"/>
          <w:szCs w:val="28"/>
          <w:highlight w:val="none"/>
          <w:shd w:val="clear" w:color="auto" w:fill="ffffff"/>
        </w:rPr>
      </w:r>
    </w:p>
    <w:p>
      <w:pPr>
        <w:ind w:left="0" w:right="0" w:firstLine="708"/>
        <w:jc w:val="center"/>
        <w:spacing w:before="0" w:after="0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  <w:highlight w:val="none"/>
        </w:rPr>
        <w:t xml:space="preserve">Затраты предпринимателя на организацию</w:t>
      </w:r>
      <w: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</w:rPr>
        <w:t xml:space="preserve"> собственной доставочной структуры.</w:t>
      </w:r>
      <w: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</w:p>
    <w:tbl>
      <w:tblPr>
        <w:tblStyle w:val="68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282"/>
        <w:gridCol w:w="3072"/>
      </w:tblGrid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Статья начальных расходов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Сумма, тыс. руб.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Получение разрешительных бумаг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Кухонное оборудование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300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Техника и компьютерная аппаратура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Программное обеспечение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17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Создание сетевого портала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Реклама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Мобильная связь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Заработная плата 3 поваров, 1 оператора, </w:t>
              <w:br/>
              <w:t xml:space="preserve">2 водителя, 2 доставщика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400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Расходные изделия и упаковка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ГСМ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Услуги ЖКХ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6"/>
                <w:szCs w:val="26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927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r>
          </w:p>
        </w:tc>
      </w:tr>
    </w:tbl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Таким образом,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6"/>
          <w:szCs w:val="26"/>
        </w:rPr>
        <w:t xml:space="preserve">дополнительные расходы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6"/>
          <w:szCs w:val="26"/>
        </w:rPr>
        <w:t xml:space="preserve"> компаний, оказывающих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услуги по доставке готовых обедов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6"/>
          <w:szCs w:val="26"/>
        </w:rPr>
        <w:t xml:space="preserve"> (на индивидуальную упаковку продукции, ГСМ, заработную плату сотрудников, осуществляющих доставку и т.д.)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 составят не менее 331,8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 тыс. руб.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, что в свою очередь повлечет удорожание готовой продукции.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eastAsia="Calibri" w:cs="Times New Roman"/>
          <w:sz w:val="26"/>
          <w:szCs w:val="26"/>
          <w:u w:val="none"/>
        </w:rPr>
        <w:t xml:space="preserve">Предоставление выездных услуг по организации питания сотрудников регионального технопарка является экономически невыгодным решением, </w:t>
      </w:r>
      <w:r>
        <w:rPr>
          <w:rFonts w:ascii="Times New Roman" w:hAnsi="Times New Roman" w:eastAsia="Calibri" w:cs="Times New Roman"/>
          <w:sz w:val="26"/>
          <w:szCs w:val="26"/>
          <w:u w:val="none"/>
        </w:rPr>
        <w:br/>
      </w:r>
      <w:r>
        <w:rPr>
          <w:rFonts w:ascii="Times New Roman" w:hAnsi="Times New Roman" w:eastAsia="Calibri" w:cs="Times New Roman"/>
          <w:sz w:val="26"/>
          <w:szCs w:val="26"/>
          <w:u w:val="none"/>
        </w:rPr>
        <w:t xml:space="preserve">та</w:t>
      </w:r>
      <w:r>
        <w:rPr>
          <w:rFonts w:ascii="Times New Roman" w:hAnsi="Times New Roman" w:eastAsia="Calibri" w:cs="Times New Roman"/>
          <w:sz w:val="26"/>
          <w:szCs w:val="26"/>
          <w:u w:val="none"/>
        </w:rPr>
        <w:t xml:space="preserve">к как стоимость данного вида услуг будет значительно дороже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u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r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  <w:u w:val="none"/>
        </w:rPr>
        <w:t xml:space="preserve">Предусмотренная </w:t>
      </w:r>
      <w:r>
        <w:rPr>
          <w:rFonts w:ascii="Times New Roman" w:hAnsi="Times New Roman" w:cs="Times New Roman"/>
          <w:sz w:val="26"/>
          <w:szCs w:val="26"/>
        </w:rPr>
        <w:t xml:space="preserve">проектом постановления возможность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предоставления помещений </w:t>
      </w:r>
      <w:r>
        <w:rPr>
          <w:rFonts w:ascii="Times New Roman" w:hAnsi="Times New Roman" w:cs="Times New Roman"/>
          <w:sz w:val="26"/>
          <w:szCs w:val="26"/>
        </w:rPr>
        <w:t xml:space="preserve">регионального технопарка «Контакт» субъектам малого и среднего предпринимательства, о</w:t>
      </w:r>
      <w:r>
        <w:rPr>
          <w:rFonts w:ascii="Times New Roman" w:hAnsi="Times New Roman" w:cs="Times New Roman"/>
          <w:sz w:val="26"/>
          <w:szCs w:val="26"/>
        </w:rPr>
        <w:t xml:space="preserve">казывающим услуги по организации питания сотрудников регионального технопарка, </w:t>
      </w:r>
      <w:r>
        <w:rPr>
          <w:rFonts w:ascii="Times New Roman" w:hAnsi="Times New Roman" w:cs="Times New Roman"/>
          <w:sz w:val="26"/>
          <w:szCs w:val="26"/>
        </w:rPr>
        <w:t xml:space="preserve">по рыночной стоимости арендной платы, определенной оценщиком в соответствии с законодательством об оценочной деятельности, с учетом назначения помещений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  <w:u w:val="none"/>
        </w:rPr>
        <w:t xml:space="preserve">, является оптимальным способом решения проблемы, экономически выгодным как для </w:t>
      </w:r>
      <w:r>
        <w:rPr>
          <w:rFonts w:ascii="Times New Roman" w:hAnsi="Times New Roman" w:cs="Times New Roman"/>
          <w:sz w:val="26"/>
          <w:szCs w:val="26"/>
        </w:rPr>
        <w:t xml:space="preserve">субъектов хозяйствующих субъектов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  <w:u w:val="none"/>
        </w:rPr>
        <w:t xml:space="preserve">, так и для самого технопарка «Контакт».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  <w:u w:val="non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sz w:val="26"/>
          <w:szCs w:val="26"/>
        </w:rPr>
      </w:r>
      <w:r>
        <w:rPr>
          <w:rFonts w:ascii="Times New Roman" w:hAnsi="Times New Roman" w:eastAsia="Arial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403e3e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403e3e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</w:p>
    <w:p>
      <w:r>
        <w:rPr>
          <w:sz w:val="24"/>
        </w:rPr>
      </w:r>
      <w:r>
        <w:rPr>
          <w:sz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8">
    <w:name w:val="Heading 1"/>
    <w:basedOn w:val="824"/>
    <w:next w:val="824"/>
    <w:link w:val="6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9">
    <w:name w:val="Heading 1 Char"/>
    <w:link w:val="648"/>
    <w:uiPriority w:val="9"/>
    <w:rPr>
      <w:rFonts w:ascii="Arial" w:hAnsi="Arial" w:eastAsia="Arial" w:cs="Arial"/>
      <w:sz w:val="40"/>
      <w:szCs w:val="40"/>
    </w:rPr>
  </w:style>
  <w:style w:type="paragraph" w:styleId="650">
    <w:name w:val="Heading 2"/>
    <w:basedOn w:val="824"/>
    <w:next w:val="824"/>
    <w:link w:val="6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1">
    <w:name w:val="Heading 2 Char"/>
    <w:link w:val="650"/>
    <w:uiPriority w:val="9"/>
    <w:rPr>
      <w:rFonts w:ascii="Arial" w:hAnsi="Arial" w:eastAsia="Arial" w:cs="Arial"/>
      <w:sz w:val="34"/>
    </w:rPr>
  </w:style>
  <w:style w:type="paragraph" w:styleId="652">
    <w:name w:val="Heading 3"/>
    <w:basedOn w:val="824"/>
    <w:next w:val="824"/>
    <w:link w:val="6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3">
    <w:name w:val="Heading 3 Char"/>
    <w:link w:val="652"/>
    <w:uiPriority w:val="9"/>
    <w:rPr>
      <w:rFonts w:ascii="Arial" w:hAnsi="Arial" w:eastAsia="Arial" w:cs="Arial"/>
      <w:sz w:val="30"/>
      <w:szCs w:val="30"/>
    </w:rPr>
  </w:style>
  <w:style w:type="paragraph" w:styleId="654">
    <w:name w:val="Heading 4"/>
    <w:basedOn w:val="824"/>
    <w:next w:val="824"/>
    <w:link w:val="6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5">
    <w:name w:val="Heading 4 Char"/>
    <w:link w:val="654"/>
    <w:uiPriority w:val="9"/>
    <w:rPr>
      <w:rFonts w:ascii="Arial" w:hAnsi="Arial" w:eastAsia="Arial" w:cs="Arial"/>
      <w:b/>
      <w:bCs/>
      <w:sz w:val="26"/>
      <w:szCs w:val="26"/>
    </w:rPr>
  </w:style>
  <w:style w:type="paragraph" w:styleId="656">
    <w:name w:val="Heading 5"/>
    <w:basedOn w:val="824"/>
    <w:next w:val="824"/>
    <w:link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7">
    <w:name w:val="Heading 5 Char"/>
    <w:link w:val="656"/>
    <w:uiPriority w:val="9"/>
    <w:rPr>
      <w:rFonts w:ascii="Arial" w:hAnsi="Arial" w:eastAsia="Arial" w:cs="Arial"/>
      <w:b/>
      <w:bCs/>
      <w:sz w:val="24"/>
      <w:szCs w:val="24"/>
    </w:rPr>
  </w:style>
  <w:style w:type="paragraph" w:styleId="658">
    <w:name w:val="Heading 6"/>
    <w:basedOn w:val="824"/>
    <w:next w:val="824"/>
    <w:link w:val="6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9">
    <w:name w:val="Heading 6 Char"/>
    <w:link w:val="658"/>
    <w:uiPriority w:val="9"/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824"/>
    <w:next w:val="824"/>
    <w:link w:val="6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7 Char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824"/>
    <w:next w:val="824"/>
    <w:link w:val="6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3">
    <w:name w:val="Heading 8 Char"/>
    <w:link w:val="662"/>
    <w:uiPriority w:val="9"/>
    <w:rPr>
      <w:rFonts w:ascii="Arial" w:hAnsi="Arial" w:eastAsia="Arial" w:cs="Arial"/>
      <w:i/>
      <w:iCs/>
      <w:sz w:val="22"/>
      <w:szCs w:val="22"/>
    </w:rPr>
  </w:style>
  <w:style w:type="paragraph" w:styleId="664">
    <w:name w:val="Heading 9"/>
    <w:basedOn w:val="824"/>
    <w:next w:val="824"/>
    <w:link w:val="6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>
    <w:name w:val="Heading 9 Char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66">
    <w:name w:val="Title"/>
    <w:basedOn w:val="824"/>
    <w:next w:val="824"/>
    <w:link w:val="6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7">
    <w:name w:val="Title Char"/>
    <w:link w:val="666"/>
    <w:uiPriority w:val="10"/>
    <w:rPr>
      <w:sz w:val="48"/>
      <w:szCs w:val="48"/>
    </w:rPr>
  </w:style>
  <w:style w:type="paragraph" w:styleId="668">
    <w:name w:val="Subtitle"/>
    <w:basedOn w:val="824"/>
    <w:next w:val="824"/>
    <w:link w:val="669"/>
    <w:uiPriority w:val="11"/>
    <w:qFormat/>
    <w:pPr>
      <w:spacing w:before="200" w:after="200"/>
    </w:pPr>
    <w:rPr>
      <w:sz w:val="24"/>
      <w:szCs w:val="24"/>
    </w:rPr>
  </w:style>
  <w:style w:type="character" w:styleId="669">
    <w:name w:val="Subtitle Char"/>
    <w:link w:val="668"/>
    <w:uiPriority w:val="11"/>
    <w:rPr>
      <w:sz w:val="24"/>
      <w:szCs w:val="24"/>
    </w:rPr>
  </w:style>
  <w:style w:type="paragraph" w:styleId="670">
    <w:name w:val="Quote"/>
    <w:basedOn w:val="824"/>
    <w:next w:val="824"/>
    <w:link w:val="671"/>
    <w:uiPriority w:val="29"/>
    <w:qFormat/>
    <w:pPr>
      <w:ind w:left="720" w:right="720"/>
    </w:pPr>
    <w:rPr>
      <w:i/>
    </w:rPr>
  </w:style>
  <w:style w:type="character" w:styleId="671">
    <w:name w:val="Quote Char"/>
    <w:link w:val="670"/>
    <w:uiPriority w:val="29"/>
    <w:rPr>
      <w:i/>
    </w:rPr>
  </w:style>
  <w:style w:type="paragraph" w:styleId="672">
    <w:name w:val="Intense Quote"/>
    <w:basedOn w:val="824"/>
    <w:next w:val="824"/>
    <w:link w:val="6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3">
    <w:name w:val="Intense Quote Char"/>
    <w:link w:val="672"/>
    <w:uiPriority w:val="30"/>
    <w:rPr>
      <w:i/>
    </w:rPr>
  </w:style>
  <w:style w:type="paragraph" w:styleId="674">
    <w:name w:val="Header"/>
    <w:basedOn w:val="824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Header Char"/>
    <w:link w:val="674"/>
    <w:uiPriority w:val="99"/>
  </w:style>
  <w:style w:type="paragraph" w:styleId="676">
    <w:name w:val="Footer"/>
    <w:basedOn w:val="824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Footer Char"/>
    <w:link w:val="676"/>
    <w:uiPriority w:val="99"/>
  </w:style>
  <w:style w:type="paragraph" w:styleId="678">
    <w:name w:val="Caption"/>
    <w:basedOn w:val="824"/>
    <w:next w:val="8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Caption Char"/>
    <w:basedOn w:val="678"/>
    <w:link w:val="676"/>
    <w:uiPriority w:val="99"/>
  </w:style>
  <w:style w:type="table" w:styleId="680">
    <w:name w:val="Table Grid"/>
    <w:basedOn w:val="8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Table Grid Light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4 - Accent 1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0">
    <w:name w:val="Grid Table 4 - Accent 2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1">
    <w:name w:val="Grid Table 4 - Accent 3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2">
    <w:name w:val="Grid Table 4 - Accent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3">
    <w:name w:val="Grid Table 4 - Accent 5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4">
    <w:name w:val="Grid Table 4 - Accent 6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5">
    <w:name w:val="Grid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0">
    <w:name w:val="List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1">
    <w:name w:val="List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2">
    <w:name w:val="List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3">
    <w:name w:val="List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4">
    <w:name w:val="List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5">
    <w:name w:val="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7">
    <w:name w:val="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8">
    <w:name w:val="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9">
    <w:name w:val="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0">
    <w:name w:val="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1">
    <w:name w:val="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2">
    <w:name w:val="Bordered &amp; 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Bordered &amp; 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Bordered &amp; 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Bordered &amp; 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Bordered &amp; 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Bordered &amp; 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Bordered &amp; 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0">
    <w:name w:val="Bordered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1">
    <w:name w:val="Bordered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2">
    <w:name w:val="Bordered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3">
    <w:name w:val="Bordered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4">
    <w:name w:val="Bordered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5">
    <w:name w:val="Bordered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paragraph" w:styleId="807">
    <w:name w:val="footnote text"/>
    <w:basedOn w:val="824"/>
    <w:link w:val="808"/>
    <w:uiPriority w:val="99"/>
    <w:semiHidden/>
    <w:unhideWhenUsed/>
    <w:pPr>
      <w:spacing w:after="40" w:line="240" w:lineRule="auto"/>
    </w:pPr>
    <w:rPr>
      <w:sz w:val="18"/>
    </w:r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uiPriority w:val="99"/>
    <w:unhideWhenUsed/>
    <w:rPr>
      <w:vertAlign w:val="superscript"/>
    </w:rPr>
  </w:style>
  <w:style w:type="paragraph" w:styleId="810">
    <w:name w:val="endnote text"/>
    <w:basedOn w:val="824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uiPriority w:val="99"/>
    <w:semiHidden/>
    <w:unhideWhenUsed/>
    <w:rPr>
      <w:vertAlign w:val="superscript"/>
    </w:rPr>
  </w:style>
  <w:style w:type="paragraph" w:styleId="813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4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5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6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7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8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19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20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21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824"/>
    <w:next w:val="824"/>
    <w:uiPriority w:val="99"/>
    <w:unhideWhenUsed/>
    <w:pPr>
      <w:spacing w:after="0" w:afterAutospacing="0"/>
    </w:pPr>
  </w:style>
  <w:style w:type="paragraph" w:styleId="824" w:default="1">
    <w:name w:val="Normal"/>
    <w:qFormat/>
  </w:style>
  <w:style w:type="table" w:styleId="8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6" w:default="1">
    <w:name w:val="No List"/>
    <w:uiPriority w:val="99"/>
    <w:semiHidden/>
    <w:unhideWhenUsed/>
  </w:style>
  <w:style w:type="paragraph" w:styleId="827">
    <w:name w:val="No Spacing"/>
    <w:basedOn w:val="824"/>
    <w:uiPriority w:val="1"/>
    <w:qFormat/>
    <w:pPr>
      <w:spacing w:after="0" w:line="240" w:lineRule="auto"/>
    </w:pPr>
  </w:style>
  <w:style w:type="paragraph" w:styleId="828">
    <w:name w:val="List Paragraph"/>
    <w:basedOn w:val="824"/>
    <w:uiPriority w:val="34"/>
    <w:qFormat/>
    <w:pPr>
      <w:contextualSpacing/>
      <w:ind w:left="720"/>
    </w:pPr>
  </w:style>
  <w:style w:type="character" w:styleId="82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2023-09-28T11:05:55Z</dcterms:modified>
</cp:coreProperties>
</file>