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Сводный отчет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оценки регулирующего воздействия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нормативного правового акта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1.1. Орган-разработчик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инистерство природопользования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 постановления Правительства Белгородской области «Об установлении 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организации»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начало: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тября 2023 г.;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окончание «16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октября 2023 г.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1.4. Степень регулирующего воздействия проекта нормативного правового акта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Средняя. Проект постановления Правительства Белгородской области «Об установлении 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уточняет порядок расчета минимального (стартового) размера разового платежа за пользование недрами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коэффициент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характеризующ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минимальный процент расчетной величины суммы налога на добычу полезных ископаемых в расчете на среднегодовую мощность добывающей организации.</w:t>
      </w:r>
      <w:bookmarkStart w:id="1" w:name="_GoBack"/>
      <w:r/>
      <w:bookmarkEnd w:id="1"/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Ф.И.О.: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Теплинский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Дмитрий Павлович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Должность: заместитель начальника отдела охраны почв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br/>
        <w:t xml:space="preserve">и недропользования департамента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воспроизводства окружающей среды министерства природопользования Белгородской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Тел.: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(4722) 24-77-01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Адрес электронной почты: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nedra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31@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belregion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рамках мониторинга нормативных правовых актов регулирующих деятельность в области недропользования установлено отсутствие нормативно закрепленного на уровне региона коэффициента, характеризующего в соответствии с частью 2 статьи 40 Закона Россий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ской Федерации от 21 февраля 1992 года № 2395-1 «О недрах» минимальный процент расчетной величины суммы налога в расчете на среднегодовую мощность добывающей организации используемого при определении минимального (стартового) размера платежа за пользование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недрами в отношении участков недр местного значения.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результате изменения Закона РФ «О недрах» возникла необходимость установления коэффициентов, характеризующих установленный в соответствии с частью 2 статьи 40 Закона Российской Федерации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от 21 февраля 1992 года № 2395-1 «О недрах» минимальный процент расчетной величины суммы налога в расчете на среднегодовую мощность добывающей организации, на территории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настоящее время при расчете минимального (стартового) размера разового платежа за пользование 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едрами при выборе 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 не учтена востребованность определенного типа полезных ископаемых.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В рамках организации аукционов на право пользования участками недр общераспространенных полезных ископаемых местного значения от недропользователей поступали обращения в части применения коэффициента, характеризующего в соответствии минимальн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ый процент расчетной величины суммы налога в расчете на среднегодовую мощность добывающей организации используемого при определении минимального (стартового) размера платежа за пользование недрами, в том числе с учетом востребованности полезных ископаемых.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2.3. Негативные эффекты, возникающие в связи с наличием рассматриваемой проблемы: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Отсутствие нормативно-правовой базы по утверждению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 оставляет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без внимания факт востребованности определенного типа полезных ископаемых.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результатам проведенного анализа отчетов баланса запасов полезных ископаемых за 2022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 на территории Белгородской области, востребованность общераспространенных полезных ископаемых составляет: песков и строительного камня от 91% до 98%, мела 61%, глины и суглинков от 28% до 47%, иных общераспространенные полезные ископаемые 18% и менее.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в соответствующих сферах деятельности: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Анализ правовой системы Консультант Плюс свидетельствует,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что коэффициенты, характеризующие минимальный процент расчетной величины суммы налога на добычу полезных ископаемых в расчете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на среднегодовую мощность добывающей организации, утверждены </w:t>
      </w:r>
      <w:r>
        <w:rPr>
          <w:rFonts w:ascii="Times New Roman" w:hAnsi="Times New Roman" w:eastAsia="Calibri" w:cs="Times New Roman"/>
          <w:sz w:val="28"/>
          <w:szCs w:val="28"/>
        </w:rPr>
        <w:br/>
        <w:t xml:space="preserve">в Амурской, Владимирской, Волгоградской, Вологодской, Иркутской, Калининградской, Калужской, Курганской, Московской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, Новгородской, Омской, Орловской, Пензенской, Псковской областях и Забайкальском крае исходя из особенностей недропользования в регионе.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Снизить расходы недропользователя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части минимального размера разового платежа за пользование недрами при отнесении планируемого к добыче полезного ископаемого к соответствующей категории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востребованности.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Необходимость обеспечения предполагаемой цели в связи с реализацией следующих нормативных актов: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 Закон Российской Федерации от 21 февраля 1992 года № 2395-1 «О недрах»;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 xml:space="preserve"> приказ Министерства природных ресурсов и экологии Российской Федерации, Федерального агентства по недропользованию от 31 марта 2022 года № 242/01 «Об установлении Методики расчета минимального (стартового) размера разового платежа за пользование недрами».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3.3. Сроки достижения целей предлагаемого правового регулирования: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 квартал 2023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3.4.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Иная информация о целях предлагаемого правового регулирования:</w:t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4.1. Описание предлагаемого способа решения проблемы 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преодоления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связанных с ней негативных эффектов:</w:t>
      </w:r>
      <w:r/>
    </w:p>
    <w:p>
      <w:pPr>
        <w:pStyle w:val="835"/>
        <w:ind w:firstLine="720"/>
        <w:jc w:val="both"/>
      </w:pPr>
      <w:r>
        <w:rPr>
          <w:rFonts w:ascii="Times New Roman" w:hAnsi="Times New Roman" w:eastAsia="Calibri" w:cs="Times New Roman"/>
          <w:b w:val="0"/>
          <w:sz w:val="28"/>
          <w:szCs w:val="28"/>
        </w:rPr>
        <w:t xml:space="preserve">Проектом постановления Правительства Белгородской области устанавливается: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при определении минимал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ьного размера разового платежа за пользование недрами для участков недр местного значения определить значение коэффициента «П», характеризующего минимальный процент расчетной величины суммы налога в расчете на среднегодовую мощность добывающей организации:</w:t>
      </w:r>
      <w:r/>
    </w:p>
    <w:p>
      <w:pPr>
        <w:pStyle w:val="835"/>
        <w:ind w:firstLine="720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1) для участков недр, содержащих пески и строительный камень,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br/>
        <w:t xml:space="preserve">в размере 1</w:t>
      </w:r>
      <w:r/>
    </w:p>
    <w:p>
      <w:pPr>
        <w:pStyle w:val="835"/>
        <w:ind w:firstLine="720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2) для участков недр, содержащих мел, в размере 0,7</w:t>
      </w:r>
      <w:r/>
    </w:p>
    <w:p>
      <w:pPr>
        <w:pStyle w:val="835"/>
        <w:ind w:firstLine="720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3)для участков недр, содержащих глины и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сугленки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, в размере 0,5</w:t>
      </w:r>
      <w:r/>
    </w:p>
    <w:p>
      <w:pPr>
        <w:pStyle w:val="835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4) для участков недр, содержащих иные общераспространенные полезные ископаемые, установленные совместным распоряжение Минприроды РФ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br/>
        <w:t xml:space="preserve">№ 23-р, Правительства Белгородской области № 3 от 1 июня 2009 года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br/>
        <w:t xml:space="preserve">«Об утверждении перечня общераспространенных полезных ископаемых по Белгородской области», в размере 0,1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4.2. Альтернативные варианты решения проблемы: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Не у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твер</w:t>
      </w:r>
      <w:r>
        <w:rPr>
          <w:rFonts w:ascii="Times New Roman" w:hAnsi="Times New Roman" w:eastAsia="Calibri" w:cs="Times New Roman"/>
          <w:sz w:val="28"/>
          <w:szCs w:val="28"/>
        </w:rPr>
        <w:t xml:space="preserve">жда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ть коэффициент, характеризующий минимальный процент расчетной величины суммы налога на добычу полезных ископаемых в расчете на среднегодовую мощность добывающей организации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при этом расчет стартового платежа за пользование участком недр будет осуществляться исходя из коэффициента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sz w:val="28"/>
          <w:szCs w:val="28"/>
        </w:rPr>
        <w:t xml:space="preserve">=1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Предпо</w:t>
      </w:r>
      <w:r>
        <w:rPr>
          <w:rFonts w:ascii="Times New Roman" w:hAnsi="Times New Roman" w:eastAsia="Calibri" w:cs="Times New Roman"/>
          <w:sz w:val="28"/>
          <w:szCs w:val="28"/>
        </w:rPr>
        <w:t xml:space="preserve">чтительным вариантом решения проблемы министерство природопользования Белгородской области считает вариант принятия постановления Правительства Белгородской области устаналивающего коэффициенты, характеризующие минимальный процент расчетной ве</w:t>
      </w:r>
      <w:r>
        <w:rPr>
          <w:rFonts w:ascii="Times New Roman" w:hAnsi="Times New Roman" w:eastAsia="Calibri" w:cs="Times New Roman"/>
          <w:sz w:val="28"/>
          <w:szCs w:val="28"/>
        </w:rPr>
        <w:t xml:space="preserve">личины суммы налога на добычу полезных ископаемых в расчете на среднегодовую мощность добывающей организации в размере: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p>
      <w:pPr>
        <w:pStyle w:val="835"/>
        <w:ind w:firstLine="720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1) для участков недр, содержащих пески и строительный камень,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br/>
        <w:t xml:space="preserve">в размере 1</w:t>
      </w:r>
      <w:r/>
    </w:p>
    <w:p>
      <w:pPr>
        <w:pStyle w:val="835"/>
        <w:ind w:firstLine="720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2) для участков недр, содержащих мел- 0,7</w:t>
      </w:r>
      <w:r/>
    </w:p>
    <w:p>
      <w:pPr>
        <w:pStyle w:val="835"/>
        <w:ind w:firstLine="720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3)для участков недр, содержащих глины и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сугленки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- 0,5</w:t>
      </w:r>
      <w:r/>
    </w:p>
    <w:p>
      <w:pPr>
        <w:pStyle w:val="835"/>
        <w:ind w:firstLine="720"/>
        <w:jc w:val="both"/>
        <w:rPr>
          <w:rFonts w:ascii="Times New Roman" w:hAnsi="Times New Roman" w:cs="Times New Roman"/>
          <w:bCs w:val="0"/>
          <w:color w:val="000000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4) для участков недр, содержащих иные общераспространенные полезные ископаемые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- 0,1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Расчет выгод недропользователей при установлении 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tbl>
      <w:tblPr>
        <w:tblStyle w:val="68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2"/>
        <w:gridCol w:w="4444"/>
      </w:tblGrid>
      <w:tr>
        <w:trPr>
          <w:trHeight w:val="379"/>
        </w:trPr>
        <w:tc>
          <w:tcPr>
            <w:tcW w:w="491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Без установления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при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=1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W w:w="4444" w:type="dxa"/>
            <w:textDirection w:val="lrTb"/>
            <w:noWrap w:val="false"/>
          </w:tcPr>
          <w:p>
            <w:pPr>
              <w:ind w:right="-74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При установленном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коэффициенте, характеризующем минимальный процент расчетной величины суммы налога на добычу полезных ископаемых в расчете на среднегодовую мощность добывающей организации: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835"/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1) для участков недр, содержащих пески и строительный камень </w:t>
            </w: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=1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bidi="ru-RU"/>
              </w:rPr>
            </w:r>
            <w:r/>
          </w:p>
          <w:p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2)для участков недр, содержащих глины 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сугленки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=0,5</w:t>
            </w:r>
            <w:r>
              <w:rPr>
                <w:rFonts w:ascii="PT Astra Serif" w:hAnsi="PT Astra Serif" w:cs="PT Astra Serif"/>
              </w:rPr>
            </w:r>
            <w:r/>
          </w:p>
          <w:p>
            <w:pPr>
              <w:pStyle w:val="835"/>
              <w:rPr>
                <w:rFonts w:ascii="PT Astra Serif" w:hAnsi="PT Astra Serif" w:cs="PT Astra Serif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3) для участков недр, содержащих мел </w:t>
            </w: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bidi="ru-RU"/>
              </w:rPr>
              <w:t xml:space="preserve">=0,7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bidi="ru-RU"/>
              </w:rPr>
            </w:r>
            <w:r/>
          </w:p>
        </w:tc>
      </w:tr>
      <w:tr>
        <w:trPr>
          <w:trHeight w:val="63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Объем полезного ископаемого, м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vertAlign w:val="superscript"/>
                <w:lang w:eastAsia="ru-RU"/>
              </w:rPr>
              <w:t xml:space="preserve">3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  <w:tr>
        <w:trPr>
          <w:trHeight w:val="60"/>
        </w:trPr>
        <w:tc>
          <w:tcPr>
            <w:tcW w:w="491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500 000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W w:w="444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500 000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  <w:tr>
        <w:trPr>
          <w:trHeight w:val="63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Категория запасов: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  <w:tr>
        <w:trPr>
          <w:trHeight w:val="63"/>
        </w:trPr>
        <w:tc>
          <w:tcPr>
            <w:tcW w:w="491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vertAlign w:val="subscript"/>
                <w:lang w:eastAsia="ru-RU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  <w:vertAlign w:val="subscript"/>
              </w:rPr>
            </w:r>
            <w:r/>
          </w:p>
        </w:tc>
        <w:tc>
          <w:tcPr>
            <w:tcW w:w="444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vertAlign w:val="subscript"/>
                <w:lang w:eastAsia="ru-RU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  <w:tr>
        <w:trPr>
          <w:trHeight w:val="60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Стоимость единицы полезного ископаемого: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  <w:r/>
          </w:p>
        </w:tc>
      </w:tr>
      <w:tr>
        <w:trPr>
          <w:trHeight w:val="189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ind w:left="26" w:firstLine="116"/>
              <w:jc w:val="center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песка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Цср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269,87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/м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ind w:left="26" w:firstLine="116"/>
              <w:jc w:val="center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глины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Цср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315,94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/м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ind w:hanging="26"/>
              <w:jc w:val="center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мела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Цср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906,22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/м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vertAlign w:val="superscript"/>
              </w:rPr>
            </w:r>
            <w:r/>
          </w:p>
          <w:p>
            <w:pPr>
              <w:ind w:hanging="26"/>
              <w:jc w:val="center"/>
              <w:rPr>
                <w:rFonts w:ascii="Times New Roman" w:hAnsi="Times New Roman" w:eastAsia="Calibri" w:cs="Times New Roman"/>
                <w:highlight w:val="none"/>
                <w:vertAlign w:val="superscript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vertAlign w:val="superscript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Перево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запасов 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из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прог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нозных в условные запасы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АВС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vertAlign w:val="subscript"/>
                <w:lang w:eastAsia="ru-RU"/>
              </w:rPr>
              <w:t xml:space="preserve">1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усл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=0,125*Р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vertAlign w:val="subscript"/>
                <w:lang w:eastAsia="ru-RU"/>
              </w:rPr>
              <w:t xml:space="preserve">2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PT Astra Serif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Cs/>
                <w:sz w:val="28"/>
                <w:szCs w:val="28"/>
                <w:lang w:eastAsia="ru-RU"/>
              </w:rPr>
              <w:t xml:space="preserve">62</w:t>
            </w:r>
            <w:r>
              <w:rPr>
                <w:rFonts w:ascii="PT Astra Serif" w:hAnsi="PT Astra Serif" w:eastAsia="Times New Roman" w:cs="PT Astra Serif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bCs/>
                <w:sz w:val="28"/>
                <w:szCs w:val="28"/>
                <w:lang w:eastAsia="ru-RU"/>
              </w:rPr>
              <w:t xml:space="preserve">500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Среднегодовая мощность добывающей организации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З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– отношение количества условных запасов полезного ископаемого к содержанию полезного ископаемого)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val="en-US" w:eastAsia="ru-RU"/>
              </w:rPr>
              <w:t xml:space="preserve">V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ср=</w:t>
            </w:r>
            <m:oMath>
              <m:f>
                <m:fPr>
                  <m:ctrlPr>
                    <w:rPr>
                      <w:rFonts w:ascii="Cambria Math" w:hAnsi="Cambria Math" w:eastAsia="Times New Roman" w:cs="PT Astra Serif"/>
                      <w:bCs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eastAsia="Times New Roman" w:cs="Cambria Math"/>
                      <w:sz w:val="28"/>
                      <w:szCs w:val="28"/>
                      <w:lang w:eastAsia="ru-RU"/>
                    </w:rPr>
                    <m:rPr>
                      <m:sty m:val="p"/>
                    </m:rPr>
                    <m:t>З</m:t>
                  </m:r>
                </m:num>
                <m:den>
                  <m:r>
                    <w:rPr>
                      <w:rFonts w:ascii="Cambria Math" w:hAnsi="Cambria Math" w:eastAsia="Times New Roman" w:cs="PT Astra Serif"/>
                      <w:sz w:val="28"/>
                      <w:szCs w:val="28"/>
                      <w:lang w:eastAsia="ru-RU"/>
                    </w:rPr>
                    <m:rPr>
                      <m:sty m:val="bi"/>
                    </m:rPr>
                    <m:t>0,2*∜З</m:t>
                  </m:r>
                </m:den>
              </m:f>
            </m:oMath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19 764,1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Расчетная величина суммы налога на добычу полезных ископаемых в 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расчете на среднегодовую мощность добывающей организации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НДПИгод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=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Цпи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val="en-US" w:eastAsia="ru-RU"/>
              </w:rPr>
              <w:t xml:space="preserve">V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ср*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Сндпист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Сндпист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в соответствии с Налоговым кодексом 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равен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5,5%)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PT Astra Serif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песка 293 355,57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2. 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глины 343 434,84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3. 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мела 985 084,25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Минимальный размер разового платежа за пользование недрами 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РПмин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=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НДПИгод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  <w:tr>
        <w:trPr>
          <w:trHeight w:val="50"/>
        </w:trPr>
        <w:tc>
          <w:tcPr>
            <w:tcW w:w="491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песка 293 354,09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2. 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глины 343 434,84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3. 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мела 985 084,25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4444" w:type="dxa"/>
            <w:textDirection w:val="lrTb"/>
            <w:noWrap w:val="false"/>
          </w:tcPr>
          <w:p>
            <w:pPr>
              <w:ind w:left="61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песка 293 354,09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2. 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глины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171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 717,42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br/>
              <w:t xml:space="preserve">3. 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мела 68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 558,98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Поправочный коэффициент, выражающий степень изученности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Кизуч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=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val="en-US" w:eastAsia="ru-RU"/>
              </w:rPr>
              <w:t xml:space="preserve">i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*</w:t>
            </w:r>
            <m:oMath>
              <m:f>
                <m:fPr>
                  <m:ctrlPr>
                    <w:rPr>
                      <w:rFonts w:ascii="Cambria Math" w:hAnsi="Cambria Math" w:eastAsia="Times New Roman" w:cs="PT Astra Serif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eastAsia="Times New Roman" w:cs="PT Astra Serif"/>
                      <w:sz w:val="28"/>
                      <w:szCs w:val="28"/>
                      <w:lang w:eastAsia="ru-RU"/>
                    </w:rPr>
                    <m:rPr>
                      <m:sty m:val="bi"/>
                    </m:rPr>
                    <m:t>РБр</m:t>
                  </m:r>
                </m:num>
                <m:den>
                  <m:r>
                    <w:rPr>
                      <w:rFonts w:ascii="Cambria Math" w:hAnsi="Cambria Math" w:eastAsia="Times New Roman" w:cs="PT Astra Serif"/>
                      <w:sz w:val="28"/>
                      <w:szCs w:val="28"/>
                      <w:lang w:eastAsia="ru-RU"/>
                    </w:rPr>
                    <m:rPr>
                      <m:sty m:val="b"/>
                    </m:rPr>
                    <m:t>РБсумм</m:t>
                  </m:r>
                </m:den>
              </m:f>
            </m:oMath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(К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val="en-US" w:eastAsia="ru-RU"/>
              </w:rPr>
              <w:t xml:space="preserve">i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для Р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vertAlign w:val="subscript"/>
                <w:lang w:eastAsia="ru-RU"/>
              </w:rPr>
              <w:t xml:space="preserve">2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vertAlign w:val="subscript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  <w:t xml:space="preserve"> равен 2)</w:t>
            </w:r>
            <w:r>
              <w:rPr>
                <w:rFonts w:ascii="PT Astra Serif" w:hAnsi="PT Astra Serif" w:eastAsia="Times New Roman" w:cs="PT Astra Serif"/>
                <w:b/>
                <w:bCs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ind w:left="61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  <w:tr>
        <w:trPr>
          <w:trHeight w:val="126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Интегральный поправочный коэффициент 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Кинт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=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изуч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Кинфр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b/>
                <w:bCs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Кинфр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 для прогнозных полезных ископаемых 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равен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 1)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  <w:tr>
        <w:trPr>
          <w:trHeight w:val="50"/>
        </w:trPr>
        <w:tc>
          <w:tcPr>
            <w:gridSpan w:val="2"/>
            <w:tcW w:w="9356" w:type="dxa"/>
            <w:textDirection w:val="lrTb"/>
            <w:noWrap w:val="false"/>
          </w:tcPr>
          <w:p>
            <w:pPr>
              <w:ind w:left="61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  <w:tr>
        <w:trPr>
          <w:trHeight w:val="63"/>
        </w:trPr>
        <w:tc>
          <w:tcPr>
            <w:gridSpan w:val="2"/>
            <w:tcBorders>
              <w:bottom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Стартовый размер разового платежа 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</w:r>
            <w:r/>
          </w:p>
          <w:p>
            <w:pPr>
              <w:jc w:val="center"/>
              <w:rPr>
                <w:rFonts w:ascii="PT Astra Serif" w:hAnsi="PT Astra Serif" w:eastAsia="Times New Roman" w:cs="PT Astra Serif"/>
                <w:b/>
                <w:color w:val="ff0000"/>
                <w:lang w:eastAsia="ru-RU"/>
              </w:rPr>
            </w:pP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РПстарт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=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РПмин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*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Кинт</w:t>
            </w:r>
            <w:r>
              <w:rPr>
                <w:rFonts w:ascii="PT Astra Serif" w:hAnsi="PT Astra Serif" w:eastAsia="Times New Roman" w:cs="PT Astra Serif"/>
                <w:b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PT Astra Serif" w:hAnsi="PT Astra Serif" w:cs="PT Astra Serif"/>
                <w:bCs/>
                <w:color w:val="ff0000"/>
                <w:sz w:val="28"/>
                <w:szCs w:val="28"/>
              </w:rPr>
            </w:r>
            <w:r/>
          </w:p>
        </w:tc>
      </w:tr>
      <w:tr>
        <w:trPr>
          <w:trHeight w:val="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2" w:type="dxa"/>
            <w:textDirection w:val="lrTb"/>
            <w:noWrap w:val="false"/>
          </w:tcPr>
          <w:p>
            <w:pPr>
              <w:ind w:left="26" w:hanging="26"/>
              <w:jc w:val="center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песка 586 708,18 руб.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ind w:left="26" w:hanging="26"/>
              <w:jc w:val="center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глины 686 869,68 руб.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ind w:left="26" w:hanging="26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мела 1 970 168,5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dxa"/>
            <w:textDirection w:val="lrTb"/>
            <w:noWrap w:val="false"/>
          </w:tcPr>
          <w:p>
            <w:pPr>
              <w:ind w:left="993" w:hanging="284"/>
              <w:jc w:val="both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песка 586 708,18 руб.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ind w:left="993" w:hanging="284"/>
              <w:jc w:val="both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глины 343 434,84 руб.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/>
          </w:p>
          <w:p>
            <w:pPr>
              <w:ind w:left="993" w:hanging="284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3. 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мела 1 379 117,96 руб.</w:t>
            </w:r>
            <w:r>
              <w:rPr>
                <w:rFonts w:ascii="PT Astra Serif" w:hAnsi="PT Astra Serif" w:cs="PT Astra Serif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Проведение аукциона на право пользования участками недр общераспространенных полезных ископаемых, при установленном постановлением Правительства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коэффициенте, характеризующем минимальный процент расчетной величины суммы налога на добычу полезных ископаемых в расчете на среднегодовую мощность добывающей организации позволит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исключить дополнительные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расходы недропользователей, при уплате минимального (стартового) размера разового платежа за пользование недрами.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Выгода недропользователей в части оплаты стартового платежа за пользование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участком недр составит в отношении глины 50%, в отношении мела 30%, </w:t>
      </w:r>
      <w:r>
        <w:rPr>
          <w:rFonts w:ascii="Times New Roman" w:hAnsi="Times New Roman" w:eastAsia="Calibri" w:cs="Times New Roman"/>
          <w:iCs/>
          <w:spacing w:val="-6"/>
          <w:sz w:val="28"/>
          <w:szCs w:val="28"/>
        </w:rPr>
        <w:t xml:space="preserve">в отношении иных полезных ископаемых 90%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4.4.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</w:t>
            </w: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недропользователи</w:t>
            </w: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37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4.5. Оценка изменений обязательных требований, обязанностей, ограничений и преимуществ, ответствен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0"/>
        <w:gridCol w:w="4112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0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</w:t>
            </w: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 (недропользователи)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2" w:type="dxa"/>
            <w:textDirection w:val="lrTb"/>
            <w:noWrap w:val="false"/>
          </w:tcPr>
          <w:p>
            <w:pPr>
              <w:ind w:right="57" w:hanging="28"/>
              <w:spacing w:after="0" w:line="228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Преимущество:</w:t>
            </w:r>
            <w:r/>
          </w:p>
          <w:p>
            <w:pPr>
              <w:ind w:right="57"/>
              <w:spacing w:after="0" w:line="228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Установленный постановлением Правительства коэффициент, характеризующий минимальный процент расчетной вели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чины суммы налога на добычу полезных ископаемых в расчете на среднегодовую мощность добывающей организации позволит исключить дополнительные расходы недропользователей, при уплате минимального (стартового) размера разового платежа за пользование недрами.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После установления коэффициента расходы недропользователей уменьшатся</w:t>
            </w:r>
            <w:r/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в отношении мела на 30%</w:t>
            </w:r>
            <w:r/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в отношении глины на 50%</w:t>
            </w:r>
            <w:r/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pacing w:val="-6"/>
                <w:sz w:val="28"/>
                <w:szCs w:val="28"/>
              </w:rPr>
              <w:t xml:space="preserve">в отношении иных полезных ископаемых на 90%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природопользования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Деятельность министерства будет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обязательные требования проектом нормативного правового акта не устанавливаются.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методов контроля эффективности избранного способа достижения целей регулирования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9"/>
        <w:gridCol w:w="2975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  <w:trHeight w:val="4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Отсутствие заявок на согласование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tabs>
                <w:tab w:val="center" w:pos="1814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маловероятен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  <w:t xml:space="preserve">мониторинг количества поданных заявок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9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7"/>
        <w:gridCol w:w="1559"/>
        <w:gridCol w:w="1701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Утверждение порядка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квартал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Получение заявок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Информирование и консультирование специалистами министерства недропользователей в сети интернет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постоянной основе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Представление полного пакета документов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3"/>
        <w:gridCol w:w="2284"/>
        <w:gridCol w:w="2250"/>
        <w:gridCol w:w="2628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Аукцион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Не менее 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Анализ качества проведения процедуры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  <w:t xml:space="preserve">Декабрь 2024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8. Предполагаемая дата вступления в силу проекта нормативного правового акта: 4 квартал </w:t>
      </w:r>
      <w:r>
        <w:rPr>
          <w:rFonts w:ascii="Times New Roman" w:hAnsi="Times New Roman" w:eastAsia="Calibri" w:cs="Times New Roman"/>
          <w:sz w:val="28"/>
          <w:szCs w:val="28"/>
        </w:rPr>
        <w:t xml:space="preserve">2023 г.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Руководитель органа-разработчика</w:t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(подпись)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* Заполняется для проектов нормативных правовых актов с высокой и средней степенью регулирующего воздействия</w:t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2 Char"/>
    <w:basedOn w:val="661"/>
    <w:link w:val="653"/>
    <w:uiPriority w:val="9"/>
    <w:rPr>
      <w:rFonts w:ascii="Arial" w:hAnsi="Arial" w:eastAsia="Arial" w:cs="Arial"/>
      <w:sz w:val="34"/>
    </w:rPr>
  </w:style>
  <w:style w:type="character" w:styleId="636">
    <w:name w:val="Heading 3 Char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37">
    <w:name w:val="Heading 4 Char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38">
    <w:name w:val="Heading 5 Char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39">
    <w:name w:val="Heading 6 Char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40">
    <w:name w:val="Heading 7 Char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1">
    <w:name w:val="Heading 8 Char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42">
    <w:name w:val="Heading 9 Char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character" w:styleId="643">
    <w:name w:val="Title Char"/>
    <w:basedOn w:val="661"/>
    <w:link w:val="675"/>
    <w:uiPriority w:val="10"/>
    <w:rPr>
      <w:sz w:val="48"/>
      <w:szCs w:val="48"/>
    </w:rPr>
  </w:style>
  <w:style w:type="character" w:styleId="644">
    <w:name w:val="Subtitle Char"/>
    <w:basedOn w:val="661"/>
    <w:link w:val="677"/>
    <w:uiPriority w:val="11"/>
    <w:rPr>
      <w:sz w:val="24"/>
      <w:szCs w:val="24"/>
    </w:rPr>
  </w:style>
  <w:style w:type="character" w:styleId="645">
    <w:name w:val="Quote Char"/>
    <w:link w:val="679"/>
    <w:uiPriority w:val="29"/>
    <w:rPr>
      <w:i/>
    </w:rPr>
  </w:style>
  <w:style w:type="character" w:styleId="646">
    <w:name w:val="Intense Quote Char"/>
    <w:link w:val="681"/>
    <w:uiPriority w:val="30"/>
    <w:rPr>
      <w:i/>
    </w:rPr>
  </w:style>
  <w:style w:type="character" w:styleId="647">
    <w:name w:val="Header Char"/>
    <w:basedOn w:val="661"/>
    <w:link w:val="683"/>
    <w:uiPriority w:val="99"/>
  </w:style>
  <w:style w:type="character" w:styleId="648">
    <w:name w:val="Caption Char"/>
    <w:basedOn w:val="687"/>
    <w:link w:val="685"/>
    <w:uiPriority w:val="99"/>
  </w:style>
  <w:style w:type="character" w:styleId="649">
    <w:name w:val="Footnote Text Char"/>
    <w:link w:val="816"/>
    <w:uiPriority w:val="99"/>
    <w:rPr>
      <w:sz w:val="18"/>
    </w:rPr>
  </w:style>
  <w:style w:type="character" w:styleId="650">
    <w:name w:val="Endnote Text Char"/>
    <w:link w:val="819"/>
    <w:uiPriority w:val="99"/>
    <w:rPr>
      <w:sz w:val="20"/>
    </w:rPr>
  </w:style>
  <w:style w:type="paragraph" w:styleId="651" w:default="1">
    <w:name w:val="Normal"/>
    <w:qFormat/>
  </w:style>
  <w:style w:type="paragraph" w:styleId="652">
    <w:name w:val="Heading 1"/>
    <w:basedOn w:val="651"/>
    <w:next w:val="651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3">
    <w:name w:val="Heading 2"/>
    <w:basedOn w:val="651"/>
    <w:next w:val="651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4">
    <w:name w:val="Heading 3"/>
    <w:basedOn w:val="651"/>
    <w:next w:val="651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5">
    <w:name w:val="Heading 4"/>
    <w:basedOn w:val="651"/>
    <w:next w:val="651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651"/>
    <w:next w:val="651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651"/>
    <w:next w:val="651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8">
    <w:name w:val="Heading 7"/>
    <w:basedOn w:val="651"/>
    <w:next w:val="651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9">
    <w:name w:val="Heading 8"/>
    <w:basedOn w:val="651"/>
    <w:next w:val="651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0">
    <w:name w:val="Heading 9"/>
    <w:basedOn w:val="651"/>
    <w:next w:val="651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1 Знак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61"/>
    <w:link w:val="653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5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51"/>
    <w:next w:val="651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61"/>
    <w:link w:val="675"/>
    <w:uiPriority w:val="10"/>
    <w:rPr>
      <w:sz w:val="48"/>
      <w:szCs w:val="48"/>
    </w:rPr>
  </w:style>
  <w:style w:type="paragraph" w:styleId="677">
    <w:name w:val="Subtitle"/>
    <w:basedOn w:val="651"/>
    <w:next w:val="651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61"/>
    <w:link w:val="677"/>
    <w:uiPriority w:val="11"/>
    <w:rPr>
      <w:sz w:val="24"/>
      <w:szCs w:val="24"/>
    </w:rPr>
  </w:style>
  <w:style w:type="paragraph" w:styleId="679">
    <w:name w:val="Quote"/>
    <w:basedOn w:val="651"/>
    <w:next w:val="651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1"/>
    <w:next w:val="651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61"/>
    <w:link w:val="683"/>
    <w:uiPriority w:val="99"/>
  </w:style>
  <w:style w:type="paragraph" w:styleId="685">
    <w:name w:val="Footer"/>
    <w:basedOn w:val="65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1"/>
    <w:uiPriority w:val="99"/>
  </w:style>
  <w:style w:type="paragraph" w:styleId="687">
    <w:name w:val="Caption"/>
    <w:basedOn w:val="651"/>
    <w:next w:val="65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 w:customStyle="1">
    <w:name w:val="Plain Table 1"/>
    <w:basedOn w:val="6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1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1"/>
    <w:uiPriority w:val="99"/>
    <w:unhideWhenUsed/>
    <w:rPr>
      <w:vertAlign w:val="superscript"/>
    </w:rPr>
  </w:style>
  <w:style w:type="paragraph" w:styleId="819">
    <w:name w:val="endnote text"/>
    <w:basedOn w:val="651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1"/>
    <w:uiPriority w:val="99"/>
    <w:semiHidden/>
    <w:unhideWhenUsed/>
    <w:rPr>
      <w:vertAlign w:val="superscript"/>
    </w:rPr>
  </w:style>
  <w:style w:type="paragraph" w:styleId="822">
    <w:name w:val="toc 1"/>
    <w:basedOn w:val="651"/>
    <w:next w:val="651"/>
    <w:uiPriority w:val="39"/>
    <w:unhideWhenUsed/>
    <w:pPr>
      <w:spacing w:after="57"/>
    </w:pPr>
  </w:style>
  <w:style w:type="paragraph" w:styleId="823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24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25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26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27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28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29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30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1"/>
    <w:next w:val="651"/>
    <w:uiPriority w:val="99"/>
    <w:unhideWhenUsed/>
    <w:pPr>
      <w:spacing w:after="0"/>
    </w:pPr>
  </w:style>
  <w:style w:type="paragraph" w:styleId="83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9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0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1" w:customStyle="1">
    <w:name w:val="Знак"/>
    <w:basedOn w:val="65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CE2CD-BF7B-45CE-9039-256F1641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6</cp:revision>
  <dcterms:created xsi:type="dcterms:W3CDTF">2023-10-02T11:10:00Z</dcterms:created>
  <dcterms:modified xsi:type="dcterms:W3CDTF">2023-10-03T07:11:35Z</dcterms:modified>
</cp:coreProperties>
</file>