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Министерство экономического развития и промышленности Белгородской области      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Проект постановления Правительства Белгородской области «О внесении изменений в п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остановление Правительства Белгородской области от 21 ноября 2016 года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№ 408-пп»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29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сентября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2023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октября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Изменены условия получения льготного коэффициента расчета арендной платы, для субъектов малого и среднего предпринимательства, осуществляющих деятельность в области ин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формационных технологий.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Изменено положение в области предоставления по договорам аренды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рыночной стоимости арендной платы нежилых помещений (части нежилых помещений) технопарка, определенной оценщиком в соответствии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с законодательством об оценочной д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еятельности, с учетом назначения помещений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для субъектов малого и среднего предпринимательства, оказывающих юридические, финансовые, информационно-технологические, маркетинговые, патентные, лицензионные, рекламно-издательские услуги, услуги по организации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 питания сотрудников резидентов регионального технопарка и другие услуги,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не противоречащие целям и задачам деятельности технопарка – сервисных компаний.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Включено утверждение министерством имущественных и земельных отношений Белгородской области ежегодное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, в срок до 30 декабря текущего финансового года, утверждение бюджета ООО «Технопарк «Контакт» на следующий финансовый год.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(высокая / средняя / низкая, обоснование степени)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Белых Александр Юрьевич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консультант отдела развития малого и среднего предпринимательства департамента промышленности и предпринимательства министерства экономического развития и промышленности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(4722) 32-45-19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belykh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ay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belregion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Отсутствие возможности предоставления нежилых помещений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договорам аренды субъектами предпринимательской деятельности, оказывающими услуги по организации питания сотрудников резидентов регионального технопарка;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Отсутствие срока, по истечении которого ус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танавливается коэффициент льгот, равный 0,15 от рыночной величины арендной платы за пользование имуществом регионального технопарка при условии завершения работ по капитальному ремонту;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Отсутствие контроля по утверждению бюджета регионального технопарка ми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нистерством имущественных и земельных отношений Белгородской области.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Проведенный министерством экономического развития и промышленности Белгородской области мониторинг р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аботы регионального технопарка.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Субъектам предпринимательской деятельности, оказывающим услуги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организации питания сотрудников резидентов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регионального технопарка не могут предоставляться в аренду нежилые помещения регионального технопарка.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Из-за отсутствия срока, по истечении которого устанавливается коэффициент льгот, равный 0,15 от рыночной величины арендной платы за пользование имущество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м регионального технопарка при условии завершения работ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капитальному ремонту, происходит постоянная текучка арендополучателей нежилых помещений регионального технопарка.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Постановление Правительства Брянской области от 18.07.2016 № 379-п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«Об утверждении Порядка и условий размещения объектов, виды которых определены Правительством Российской Федерации, на землях или земельных уча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стках, находящихся в государственной или муниципальной собственности,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без предоставления земельных участков и установления сервитутов на территории Брянской области»; постановление Правительства Самарской области от 17 октября 2018 г. № 595 «Об утверждени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и порядка и условий размещения объектов, виды которых определены постановлением Правительства Российской Федерации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и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области».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Расширение категорий субъектов малого и среднего предпринимательства, имеющих право на получение по договорам аренды нежилых помещений регионального технопарка;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Установление 3-х летнего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срока, по истечении которого устанавливается коэффициент льгот, равный 0,15 от рыночной величины арендной платы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за пользование имуществом регионального технопарка при условии завершения работ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капитальному ремонту в целях предотвращения текучки субъект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ов малого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и среднего предпринимательства – арендополучателей нежилых помещений регионального технопарка;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Принятие положение об утверждении бюджета регионального технопарка министерством имущественных и земельных отношений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в целях доп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олнительного контроля за планированием бюджета со стороны государственных органов Белгородской области.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Проект пост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ановления Правительства Белгородской области «О внесении изменений в постановление Правительства Белгородской области от 21 ноября 2016 года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№ 408-пп» (далее – проект постановления) подготовлен в целях повышения эффективности реализации государственной пр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№ 522-пп».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</w:t>
      </w:r>
      <w:r>
        <w:rPr>
          <w:rFonts w:ascii="Times New Roman" w:hAnsi="Times New Roman" w:eastAsia="Calibri" w:cs="Times New Roman"/>
          <w:sz w:val="20"/>
          <w:szCs w:val="20"/>
        </w:rPr>
        <w:t xml:space="preserve">ля текстового описания)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30 декабря 2024 года.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Отсутствует.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описани</w:t>
      </w:r>
      <w:r>
        <w:rPr>
          <w:rFonts w:ascii="Times New Roman" w:hAnsi="Times New Roman" w:eastAsia="Calibri" w:cs="Times New Roman"/>
          <w:sz w:val="20"/>
          <w:szCs w:val="20"/>
        </w:rPr>
        <w:t xml:space="preserve">я)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Проектом постановления предусматривается: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- ежегодное утверждение министерством имущественных и земельных отношений Белгородской области по согласованию с министерством экономического развития и промышленности Белгородской области бюджета регионального технопарка «Контакт»;</w:t>
      </w:r>
      <w:r>
        <w:rPr>
          <w:u w:val="single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- установление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для субъектов малого и среднего предпринимательства, осуществляющих деятельность в области информационных технологий, в случае направления ими финансирования на неотделимые улучшения арендованного имущества (капитальный ремонт) в объеме не менее 10,0 тыс.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рублей на 1 кв. метр, коэффициента льгот, равного 0,15 от рыночной величины арендной платы за пользование имуществом в течение 3 (трех) лет с даты завершения работ по капитальному ремонту;</w:t>
      </w:r>
      <w:r>
        <w:rPr>
          <w:u w:val="single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- предусматривается возможность предоставления помещ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ений регионального технопарка «Контакт» сервисным компаниям – субъектам малого и среднего предпринимательства, оказывающим услуги по организации питания сотрудников резидентов регионального технопарка, по рыночной стоимости арендной платы, определенной оце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нщиком в соответствии с законодательством об оценочной деятельности, с учетом назначения помещений.</w:t>
      </w:r>
      <w:r>
        <w:rPr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I. Расширение категорий субъектов малого и среднего предпринимательства, имеющих право на предоставление выез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дных услуг по организации питания сотрудников регионального технопарка;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II. Установление 2-х летнего срока, по истечении которого устанавливается коэффициент льгот, равный 0,15 от рыночной величины арендной платы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за пользование имуществом регионального те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хнопарка при условии завершения работ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по капитальному ремонту.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(место для текстового описания)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I. Экономическое обоснование выбранного варианта правового регулирования по сравнению с альтернативным.</w:t>
      </w:r>
      <w:r/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  <w:u w:val="single"/>
        </w:rPr>
        <w:t xml:space="preserve">Сравнительный анализ затрат субъектов 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малого и среднего предпринимательства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  <w:u w:val="single"/>
        </w:rPr>
        <w:t xml:space="preserve"> на оказание услуг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организации питания в арендованных помещениях 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u w:val="single"/>
        </w:rPr>
        <w:t xml:space="preserve">на организацию собственной доставочной структуры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  <w:u w:val="singl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  <w:u w:val="single"/>
        </w:rPr>
      </w:r>
    </w:p>
    <w:p>
      <w:pPr>
        <w:ind w:firstLine="708"/>
        <w:spacing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t xml:space="preserve">Затраты предпринимателя на организацию пункта питания </w:t>
      </w:r>
      <w:r/>
    </w:p>
    <w:p>
      <w:pPr>
        <w:ind w:firstLine="708"/>
        <w:jc w:val="center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технопарка «Контакт»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Набор базового инструментария, необходимого для старта проекта, будет зависеть от многих индивидуальных параметров. Однако существует и первостепенный перечень:</w:t>
      </w:r>
      <w:r/>
    </w:p>
    <w:tbl>
      <w:tblPr>
        <w:tblStyle w:val="6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282"/>
        <w:gridCol w:w="3072"/>
      </w:tblGrid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Статья начальных расходов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Сумма, тыс. руб.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Получение разрешительных бумаг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Аренда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Кухонное оборудование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Компьютер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12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Программное обеспечение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17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Реклама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Мобильная связь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Заработная плата 3 поваров, 1 кассира 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Итого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594</w:t>
            </w:r>
            <w:r/>
          </w:p>
        </w:tc>
      </w:tr>
    </w:tbl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*Все перечисленные позиции представлены по ценам, актуальным на состояние 2022 года. 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Расчет стандартных издержек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заявителей при участии в отборе претендентов на заключение договора аренды с региональным технопарком ООО «Контакт»</w:t>
      </w:r>
      <w:r/>
    </w:p>
    <w:p>
      <w:pPr>
        <w:jc w:val="center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Названия требования</w:t>
      </w:r>
      <w:r/>
    </w:p>
    <w:p>
      <w:pPr>
        <w:jc w:val="both"/>
        <w:spacing w:after="0" w:line="240" w:lineRule="auto"/>
        <w:tabs>
          <w:tab w:val="left" w:pos="1418" w:leader="none"/>
        </w:tabs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Представление документов </w:t>
      </w:r>
      <w:r>
        <w:rPr>
          <w:rFonts w:ascii="Times New Roman" w:hAnsi="Times New Roman" w:cs="Times New Roman"/>
          <w:sz w:val="26"/>
          <w:szCs w:val="26"/>
        </w:rPr>
        <w:t xml:space="preserve">для участия в отборе претендентов на заключение договора аренды с региональным технопарком ООО «Контакт»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Тип требования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Подготовка и представление документов.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Масштаб: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1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Действия: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Подготовка документов:</w:t>
      </w:r>
      <w:r/>
    </w:p>
    <w:p>
      <w:pPr>
        <w:pStyle w:val="677"/>
        <w:numPr>
          <w:ilvl w:val="0"/>
          <w:numId w:val="1"/>
        </w:numPr>
        <w:ind w:left="0"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Подготовка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заявления на участие в отборе претендентов (конкурсном отборе) и присвоение статуса резидента технопарка по установленной форме с приложением следующих документов:</w:t>
      </w:r>
      <w:r/>
    </w:p>
    <w:p>
      <w:pPr>
        <w:pStyle w:val="677"/>
        <w:numPr>
          <w:ilvl w:val="0"/>
          <w:numId w:val="2"/>
        </w:num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анкета по установленной форме - 0,5 чел./часа;</w:t>
      </w:r>
      <w:r/>
    </w:p>
    <w:p>
      <w:pPr>
        <w:pStyle w:val="677"/>
        <w:numPr>
          <w:ilvl w:val="0"/>
          <w:numId w:val="2"/>
        </w:num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копии учредительных документов: устав и изме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нения к нему, учредительный договор или решение уполномоченного органа о создании организации – для юридических лиц; свидетельство о государственной регистрации юридического лица или индивидуального предпринимателя; свидетельство о постановке на налоговый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учет юридического лица или индивидуального предпринимателя (с предъявлением оригиналов указанных документов в случае, если их копии не заверены нотариально) - 0,5 чел./часа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</w:rPr>
        <w:t xml:space="preserve">;</w:t>
      </w:r>
      <w:r/>
    </w:p>
    <w:p>
      <w:pPr>
        <w:pStyle w:val="677"/>
        <w:numPr>
          <w:ilvl w:val="0"/>
          <w:numId w:val="2"/>
        </w:num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выписка из единого государственного реестра юридических лиц (индивидуальных предпр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инимателей), полученную не ранее чем за 30 календарных дней до даты подачи заявки - 1 чел./час;</w:t>
      </w:r>
      <w:r/>
    </w:p>
    <w:p>
      <w:pPr>
        <w:pStyle w:val="677"/>
        <w:numPr>
          <w:ilvl w:val="0"/>
          <w:numId w:val="2"/>
        </w:num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копии документов, подтверждающих полномочия лиц, подписавших и имеющих право подписи документов заявки, заверенные заявителем -                       0,5 чел./ч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аса;</w:t>
      </w:r>
      <w:r/>
    </w:p>
    <w:p>
      <w:pPr>
        <w:pStyle w:val="677"/>
        <w:numPr>
          <w:ilvl w:val="0"/>
          <w:numId w:val="2"/>
        </w:num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презентацию инновационного проекта, подтверждающего целесообразность размещения субъекта малого и среднего предпринимательства в технопарке - 2 чел./часа.</w:t>
      </w:r>
      <w:r/>
    </w:p>
    <w:p>
      <w:pPr>
        <w:pStyle w:val="677"/>
        <w:numPr>
          <w:ilvl w:val="0"/>
          <w:numId w:val="1"/>
        </w:numPr>
        <w:ind w:left="0"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Направление заявления о внесении сведений в реестр парковок общего пользования - 0,5 чел./час;</w:t>
      </w:r>
      <w:r/>
    </w:p>
    <w:p>
      <w:pPr>
        <w:ind w:left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того трудозатрат: 5 чел./часов.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Список приобретений: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заключение договора аренды с региональным технопарком ООО «Контакт»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.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41380 рублей.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41380:22:8=235,11рубля.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Стоимость требования: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 чел./часов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*235,11 руб.= 1,2 тыс. руб.</w:t>
      </w:r>
      <w:r/>
    </w:p>
    <w:p>
      <w:pPr>
        <w:ind w:firstLine="708"/>
        <w:jc w:val="center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  <w:t xml:space="preserve">Итого: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u w:val="single"/>
        </w:rPr>
        <w:t xml:space="preserve">затраты предпринимателя на организацию пункта питания </w:t>
      </w:r>
      <w:r/>
    </w:p>
    <w:p>
      <w:pPr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u w:val="single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регионального технопарка «Контакт»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составят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595,2 тыс. руб.</w:t>
      </w:r>
      <w:r/>
    </w:p>
    <w:p>
      <w:pPr>
        <w:spacing w:after="0" w:line="240" w:lineRule="auto"/>
      </w:pPr>
      <w:r/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Предприниматель имеющий собственное помещение для приготовление пищи и сделавший выбор в пользу открытия собственной доставочной структуры, должен быть готов к большой и достаточно сложной работе. Для реализации всех процедур на самом качественном уровне п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ридется учитывать, в том числе и объем будущих вложений. </w:t>
      </w:r>
      <w:r/>
    </w:p>
    <w:p>
      <w:pPr>
        <w:jc w:val="both"/>
        <w:spacing w:after="0" w:line="240" w:lineRule="auto"/>
      </w:pPr>
      <w:r/>
      <w:r/>
    </w:p>
    <w:p>
      <w:pPr>
        <w:ind w:firstLine="708"/>
        <w:jc w:val="center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t xml:space="preserve">Затраты предпринимателя на организацию собственной доставочной структуры.</w:t>
      </w:r>
      <w:r/>
    </w:p>
    <w:tbl>
      <w:tblPr>
        <w:tblStyle w:val="6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282"/>
        <w:gridCol w:w="3072"/>
      </w:tblGrid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Статья начальных расходов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Сумма, тыс. руб.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Получение разрешительных бумаг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Кухонное оборудование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Техника и компьютерная аппаратура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40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Программное обеспечение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17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Создание сетевого портала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60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Реклама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Мобильная связь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Заработная плата 3 поваров, 1 оператора,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br/>
              <w:t xml:space="preserve">2 водителя, 2 доставщика 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400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Расходные изделия и упаковка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25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ГСМ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30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Услуги ЖКХ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6"/>
                <w:szCs w:val="26"/>
              </w:rPr>
              <w:t xml:space="preserve">Итого</w:t>
            </w:r>
            <w:r/>
          </w:p>
        </w:tc>
        <w:tc>
          <w:tcPr>
            <w:tcBorders>
              <w:top w:val="single" w:color="403E3E" w:sz="6" w:space="0"/>
              <w:left w:val="single" w:color="403E3E" w:sz="6" w:space="0"/>
              <w:bottom w:val="single" w:color="403E3E" w:sz="6" w:space="0"/>
              <w:right w:val="single" w:color="403E3E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927</w:t>
            </w:r>
            <w:r/>
          </w:p>
        </w:tc>
      </w:tr>
    </w:tbl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Таким образом, дополнительные расходы компаний, оказывающих </w:t>
      </w:r>
      <w:r>
        <w:rPr>
          <w:rFonts w:ascii="Times New Roman" w:hAnsi="Times New Roman" w:cs="Times New Roman"/>
          <w:sz w:val="26"/>
          <w:szCs w:val="26"/>
        </w:rPr>
        <w:t xml:space="preserve">услуги по доставке готовых обедов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(на индивидуальную упаковку продукции, ГСМ, заработную плату сотрудников, осуществляющих доставку и т.д.)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составят не менее 331,8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тыс. руб.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в свою очередь повлечет удорожание готовой продукции.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Предоставление выездных услуг по организации питания сотрудников регионального технопарка является экономически невыгодным решением,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так как стоимость данного вида услуг будет значительно дороже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.</w:t>
      </w:r>
      <w:r/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Предусмотренная </w:t>
      </w: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возможность предоставления помещений регионального технопарка «Контакт» субъектам малого и среднего предпринимательства, оказывающим услуги по организации питания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регионального технопарка, по рыночной сто</w:t>
      </w:r>
      <w:r>
        <w:rPr>
          <w:rFonts w:ascii="Times New Roman" w:hAnsi="Times New Roman" w:cs="Times New Roman"/>
          <w:sz w:val="26"/>
          <w:szCs w:val="26"/>
        </w:rPr>
        <w:t xml:space="preserve">имости арендной платы, определенной оценщиком в соответствии с законодательством об оценочной деятельности, с учетом назначения помещений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, является оптимальным способом решения проблемы, экономически выгодным как для </w:t>
      </w:r>
      <w:r>
        <w:rPr>
          <w:rFonts w:ascii="Times New Roman" w:hAnsi="Times New Roman" w:cs="Times New Roman"/>
          <w:sz w:val="26"/>
          <w:szCs w:val="26"/>
        </w:rPr>
        <w:t xml:space="preserve">субъектов хозяйствующих субъектов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, так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и для самого технопарка «Контакт».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II. Установление 3-х летнего срока, по истечении которого устанавливается коэффициент льгот, равный 0,15 от рыночной величины арендной платы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за пользование имуществом регионального технопарка при условии завершения рабо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т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по капитальному ремонту будет являеться оптимальным способом решения проблемы, так как позволит осуществлять сотрудничество региональному технопарку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br/>
        <w:t xml:space="preserve">с субъектами малого и среднего предпринимательства на долгосрочный период.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(место для текстового описан</w:t>
      </w:r>
      <w:r>
        <w:rPr>
          <w:rFonts w:ascii="Times New Roman" w:hAnsi="Times New Roman" w:eastAsia="Calibri" w:cs="Times New Roman"/>
          <w:sz w:val="20"/>
          <w:szCs w:val="20"/>
        </w:rPr>
        <w:t xml:space="preserve">ия)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субъекты предпринимательской деятельности, оказывающие услуги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br/>
              <w:t xml:space="preserve">по организации питания сотрудников резидентов регионального технопарка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Около 2800 участников – субъектов малого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и среднего предпринимательства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pageBreakBefore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субъекты предпринимательской деятельности, оказывающие услуги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br/>
              <w:t xml:space="preserve">по организации питания сотрудников резидентов регионального технопарка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Предоставление помещений регионального технопарка субъектам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малого и среднего предпринимательства по договорам аренды нежилых помещений в размере рыночной величины арендной платы за пользование имуществом, определенной на основании заключения независимого оценщика в соответствии с законодательством об оценочной дея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Представлена в п. 4.3. Сводного отчета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субъекты предпринимательской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Установление 3-х летнего срока, по истечении которого устанавливается коэффициент льгот, равный 0,15 от рыночной величины арендной платы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за пользование имуществом регионального технопарка при условии завершения работ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по капитальному ремонту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По истечении 3-х летнего срока сокращение арендной платы на 15%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министерство имущественных и земельных отношений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утверждение  бюджета регионального технопарка ООО «Контакт»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согласование  бюджета регионального технопарка ООО «Контакт»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утверждение  бюджета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регионального технопарка ООО «Контакт»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 министерством имущественных и земельных отношений Белгородской области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W w:w="34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согласование  бюджета регионального технопарка ООО «Контакт»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 министерством экономического развития и промышленности Белгородской области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обязательные требования проектом НПА не устанавливаются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                      </w:t>
      </w:r>
      <w:r>
        <w:rPr>
          <w:rFonts w:ascii="Times New Roman" w:hAnsi="Times New Roman" w:eastAsia="Calibri" w:cs="Times New Roman"/>
          <w:color w:val="ffffff" w:themeColor="background1"/>
          <w:sz w:val="26"/>
          <w:szCs w:val="26"/>
          <w:u w:val="single"/>
        </w:rPr>
        <w:t xml:space="preserve">;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(наличие/отсутствие, описание обязательных требований при наличии)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Отсутствие заявок на участие в отборе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Маловероятно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Мониторинг количества поданных заявок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10207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950"/>
        <w:gridCol w:w="1276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размещение проекта постановления правительства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«О внесении изменений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в постановление Правительства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от 21 ноября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2016 года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№ 408-пп» на сайте Губернатора Белгородской области и министерства экономического развития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Октябрь 2023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проект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постановления правительства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«О внесении изменений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 постановление Правительства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от 21 ноября 2016 года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№ 408-пп» размещен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на сайте Губернатора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и министерства экономического развития и промышленности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консультирование заинтересованных с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убъектов малого и среднего предпринимательства по вопросам изменений в постановление Правительства Белгородской области от 21 ноября 2016 года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№ 408-пп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министерством экономического развития и промышленности Белгородской области провед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ены разъяснения по поводу внесения изменений в постановление Правительства Белгородской области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br/>
              <w:t xml:space="preserve">от 21 ноября 2016 года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№ 408-пп в рамках проведения публичных консультаций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2"/>
        <w:gridCol w:w="2644"/>
        <w:gridCol w:w="2644"/>
        <w:gridCol w:w="155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Количество участников, подавших заявку на участие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в отборе претендентов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на заключение договора аренды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с региональным технопарком ООО «Контакт»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Получение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потенциальных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заяв</w:t>
            </w:r>
            <w:bookmarkStart w:id="1" w:name="_GoBack"/>
            <w:r/>
            <w:bookmarkEnd w:id="1"/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ценка поступивших заявок от субъектов малого и среднего предпринимательства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декабрь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2024 года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Количество участников,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заключивших договор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 аренды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с региональным технопарком ООО «Контакт»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Не менее 1 субъекта малого и среднего предпринимательства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одобренных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 заявок от субъектов малого и среднего предпринимательства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декабрь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ru-RU"/>
              </w:rPr>
              <w:t xml:space="preserve">2024 года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bidi="en-US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IV кв.2023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Руководитель органа-разработчика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bidi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</w:r>
      <w:r/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  <w:t xml:space="preserve">Зябрев В.В.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lang w:bidi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lang w:bidi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lang w:bidi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lang w:bidi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bidi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t xml:space="preserve">          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bidi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en-US"/>
              </w:rPr>
              <w:t xml:space="preserve">             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566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Заголовок Знак"/>
    <w:basedOn w:val="648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basedOn w:val="648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48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48"/>
    <w:uiPriority w:val="99"/>
  </w:style>
  <w:style w:type="paragraph" w:styleId="691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8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9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48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48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38"/>
    <w:next w:val="638"/>
    <w:uiPriority w:val="99"/>
    <w:unhideWhenUsed/>
    <w:pPr>
      <w:spacing w:after="0"/>
    </w:pPr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5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Сорочинская И. Л.</dc:creator>
  <cp:revision>114</cp:revision>
  <dcterms:created xsi:type="dcterms:W3CDTF">2022-04-27T14:18:00Z</dcterms:created>
  <dcterms:modified xsi:type="dcterms:W3CDTF">2023-09-29T06:54:57Z</dcterms:modified>
</cp:coreProperties>
</file>