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bookmarkStart w:id="0" w:name="P439"/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1. Общая информация: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1.1. Орган-разработчик (инициатор проекта закона Белгородской области):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left"/>
        <w:spacing w:after="0" w:line="240" w:lineRule="auto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</w:rPr>
        <w:t xml:space="preserve">Министерство природопользования Белгородской области</w:t>
      </w:r>
      <w:r>
        <w:rPr>
          <w:rFonts w:ascii="Times New Roman" w:hAnsi="Times New Roman" w:cs="Times New Roman"/>
          <w:sz w:val="24"/>
          <w:szCs w:val="24"/>
          <w:u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1.2. Вид и наименование проекта нормативного правового акта: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«Об утверждении Порядка согласования нормативов потерь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документации, на территории Белгородской области»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акта: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начало: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сентября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окончание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октября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23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Средняя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роект постановления Правительства Белгородской области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«Об утверждении Порядка согласования нормативов потерь общераспространенных полезных ископаемых при добыче, технол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огич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документации, на территории Белгородской области» изменяет обязанности субъектов предпринимательской деятельности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согласовании нормативов потерь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общераспространенных полезных ископаемых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Ранее предоставление данной услуги регламентировалось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Постановлением Правительства Белгородской области от 10 марта </w:t>
        <w:br/>
        <w:t xml:space="preserve">2020 года № 77-пп «Об утверждении административного регламента департамента агропромышленного комплекса и воспроизводства окружающей среды Белгородской области предоставления государственно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услуги «Согласование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1.5. Контактная информация об исполнителе в органе-разработчике: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Ф.И.О.: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Кузьмина Татьяна Юрьевна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Должность: заместитель начальника отдела экологической экспертизы, стандартов озеленения и воспроизводства растительного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мира департамента воспроизводства окружающей среды министерства природопользования Белгородской области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(4722) 24-76-86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Адрес элект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ронной почты: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omsr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31@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belapk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</w:rPr>
        <w:t xml:space="preserve">         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Отсутствие четко регламентированного п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орядка согласования нормативов потерь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случае превышения нормативов потерь общераспространенных полезных ископаемых при добыче, превышающих по величине нормативы, утвержденные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составе проектной документации, потери считаются сверхнормативными, на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недропользователя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доначисляется дополнительный налог на добычу полезного ископаемого, что влечет за собой дополнительные расходы.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соответствии с абзацем 4 пункта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Правил утверждения нормативов потерь полезных ископаемых при добыче, технологически связанных с принятой схемой и тех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нологией разработки месторождений, утвержденных постановлением Правительства Российской  Федерации от 29 декабря 2001 года № 921 «Об утверждении Правил утверждения нормативов потерь полезных ископаемых при добыче, технологически связанных с принятой схемой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 технологией разработки месторождения»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нормативы потерь общераспространенных полезных ископаемых, превышающие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 величине нормативы, утвержденные в составе проектной документации, утверждаются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недропользователем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после их согласования с органами государственной власти субъектов Российской Федерации в порядке, определяемом органами государственной власти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настоящее время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Поряд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согласов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ания нормативов потерь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документации, на территории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Белгородской области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не утвержден.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2.2. Информация о возникновении и выявлении проблемы: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рамках мониторинга нормативных правовых актов регулирующих деятельность в области недропользования установлено отсутствие п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орядка согласования нормативов потерь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2.3. Негативные эффекты, возникающие в связи с наличием рассматриваемой проблемы: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Отсутствие нормативно-правовой базы согласования нормативов потерь, вследствие чего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недропользователь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не имеет право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воспользоваться нулевой ставкой при добыче ископаемых в части их потерь.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br/>
        <w:t xml:space="preserve">в соответствующих сферах деятельности:*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Анализ правовой системы Консультант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Плюс свидетельствует, что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согласо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ванию нормативов потерь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документации, утверждены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Московской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Самарской, Свердловской, Курской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, Кемеровской, Иркутской, Тюменской областях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их достижения: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3.1. Описание целей предлагаемого правового регулирования: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Снизить расходы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недропользователя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части уплаты налогов на добычу полезных ископаемых.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Необходимость обеспечения предполагаемой цели в связи с реализацией следующих нормативных актов: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Закон Российской Федерации от 21 февраля 1992 года № 2395-1 «О недрах»;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постановление Правительства РФ от 29 декабря 2001 года № 921 «Об утверждении Правил нормативов потерь полезных ископаемых при добыче, технологически связанных с принятой схемой и технологией разработки месторождения;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3.3. Сроки достижения целей предлагаемого правового регулирования: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4 квартал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2023 года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3.4.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en-US"/>
        </w:rPr>
        <w:t xml:space="preserve"> 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Иная информация о целях предлагаемого правового регулирования: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Отсутствует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contextualSpacing/>
        <w:ind w:left="70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4. Описание предлагаемого правового регулирования: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4.1. Описание предлагаемого способа решения проблемы и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преодоления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связанных с ней негативных эффектов: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Утвердить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порядок с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огласовани</w:t>
      </w:r>
      <w:r>
        <w:rPr>
          <w:rFonts w:ascii="Times New Roman" w:hAnsi="Times New Roman" w:eastAsia="Calibri" w:cs="Times New Roman"/>
          <w:sz w:val="24"/>
          <w:szCs w:val="24"/>
        </w:rPr>
        <w:t xml:space="preserve">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нормативов потерь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4.2. Альтернативные варианты решения проблемы: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Не утвердить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порядок согласования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нормативов потерь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4.3. Обоснование выбора предлагаемого способа решения проблемы: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Предпочтительным вариантом решения выявленной проблемы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министерство природопользования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Белгородской области считает вариант принятия постановления Правительства Белгородской области «Об утверждении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Порядка с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огласование нормативов потерь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документации».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Порядок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согласования нормативов потерь общераспространенных полезных ископаемых,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утвержденный вышеуказанным постановлением Правительства позволит исключить дополнительные расходы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недропользовател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связанной с уплатой налогов.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случае отсутствия порядка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недропользователь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не имеет право воспользоваться нулевой ставкой при добыче ископаемых в части их потерь.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tabs>
          <w:tab w:val="left" w:pos="1628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Пример расчета НДПИ с проектными нормативами потерь 1,78 % (890 т)</w:t>
      </w: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ind w:firstLine="709"/>
        <w:jc w:val="both"/>
        <w:spacing w:after="0" w:line="240" w:lineRule="auto"/>
        <w:tabs>
          <w:tab w:val="left" w:pos="162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пп</w:t>
      </w:r>
      <w:r>
        <w:rPr>
          <w:rFonts w:ascii="Times New Roman" w:hAnsi="Times New Roman" w:eastAsia="Calibri" w:cs="Times New Roman"/>
          <w:sz w:val="24"/>
          <w:szCs w:val="24"/>
        </w:rPr>
        <w:t xml:space="preserve">. 1 п. 1 ст. 342 НК РФ установлено, что при добыче полезных ископаемых в части нормативных потерь полезных ископаемых налогообложение производится по налоговой ставке 0 процентов.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ООО «X»  занимается добычей и продажей природного строительного песка.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2022 году организация добыла 50000 т песка и реализовала: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Ставка НДПИ по строительному песку — 5,5 %. Коэффициент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Крента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— 1,0 (п. 3 ст. 342.8 НК РФ)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Стоимость одной тонны добытого песка для расчета НДПИ составила 350 руб./</w:t>
      </w:r>
      <w:r>
        <w:rPr>
          <w:rFonts w:ascii="Times New Roman" w:hAnsi="Times New Roman" w:eastAsia="Calibri" w:cs="Times New Roman"/>
          <w:sz w:val="24"/>
          <w:szCs w:val="24"/>
        </w:rPr>
        <w:t xml:space="preserve">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Налоговая база по НДПИ равна 17,19 млн руб. (350 руб./т * 49110 т).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Сумма НДПИ за песок, составляет: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17,19 руб. * 5,5 % * 1,0 =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945,45 тыс. руб.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bookmarkStart w:id="0" w:name="undefined"/>
      <w:r>
        <w:rPr>
          <w:rFonts w:ascii="Times New Roman" w:hAnsi="Times New Roman" w:cs="Times New Roman"/>
          <w:sz w:val="24"/>
          <w:szCs w:val="24"/>
          <w:u w:val="single"/>
        </w:rPr>
      </w:r>
      <w:bookmarkEnd w:id="0"/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Пример расчета НДПИ с согласованными нормативами потерь 8,9 % (4450 т)</w:t>
      </w: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пп</w:t>
      </w:r>
      <w:r>
        <w:rPr>
          <w:rFonts w:ascii="Times New Roman" w:hAnsi="Times New Roman" w:eastAsia="Calibri" w:cs="Times New Roman"/>
          <w:sz w:val="24"/>
          <w:szCs w:val="24"/>
        </w:rPr>
        <w:t xml:space="preserve">. 1 п. 1 ст. 342 НК РФ установлено, что при добыче полезных ископаемых в части нормативных потерь полезных ископаемых налогообложение производится по налоговой ставке 0 процентов.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ООО «X»  занимается добычей и продажей природного строительного песка.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2022 году организация добыла 50000 т песка и реализовала: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Ставка НДПИ по строительному песку — 5,5 %. Коэффициент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Крента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— 1,0 (п. 3 ст. 342.8 НК РФ)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Стоимость одной тонны добытого песка для расчета НДПИ составила 350 руб./</w:t>
      </w:r>
      <w:r>
        <w:rPr>
          <w:rFonts w:ascii="Times New Roman" w:hAnsi="Times New Roman" w:eastAsia="Calibri" w:cs="Times New Roman"/>
          <w:sz w:val="24"/>
          <w:szCs w:val="24"/>
        </w:rPr>
        <w:t xml:space="preserve">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Налоговая база по НДПИ равна 15,94 млн руб (350 руб./т * 45550 т).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Сумма НДПИ за песок, составляет: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15,94 млн руб. * 5,5 % * 1,0 =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876,7 тыс. руб.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Таким образом, согласование нормативов потерь ООО «X», позволит снизить затраты на уплату налога на добычу полезных ископаемых на 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  <w:t xml:space="preserve">68,75 тыс. руб.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</w:rPr>
        <w:t xml:space="preserve">945,45 руб.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-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</w:rPr>
        <w:t xml:space="preserve">876,7 руб.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=68,75 тыс. руб.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4.4.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br/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br/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969"/>
        <w:gridCol w:w="269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right="57" w:hanging="28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Утверждение порядка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 согласования нормативов потерь общераспространенных полезных ископаемых, утвержденный вышеуказанным постановлением Правительства позволит исключить дополнительные расходы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недропользователям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, связанной с уплатой налогов.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4"/>
                <w:szCs w:val="24"/>
                <w:highlight w:val="none"/>
              </w:rPr>
              <w:t xml:space="preserve">согласование нормативов потерь при добычи полезных ископаемых в объеме 50000 т. позволит снизить затраты на уплату налога на добычу полезных ископаемых на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none"/>
              </w:rPr>
              <w:t xml:space="preserve">68,75 тыс. руб.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/>
          </w:p>
          <w:p>
            <w:pPr>
              <w:ind w:right="57" w:firstLine="709"/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 w:firstLine="709"/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Обязанность: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right="57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Предоставление пакета документов для согласования нормативов потерь общераспространенных полезных ископаемых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Стоимость требования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3,3 тыс. руб.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природопользования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нормативов потерь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4.7. Оценка расходов (возможных поступлений) консолидированного бюджета Белгородской области:*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Согласование нормативов потерь общераспространенных полезных ископаемых при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добыче, технологически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обязательные требования проектом нормативного правового акта не устанавливаются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методов контроля эффективности избранного способа достижения целей регулирования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9"/>
        <w:gridCol w:w="2975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cantSplit/>
          <w:trHeight w:val="8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Отсутствие заявок на согласование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4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tabs>
                <w:tab w:val="center" w:pos="181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маловероятен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мониторинг кол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ичества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 поданных 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cantSplit/>
          <w:trHeight w:val="77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Представлен неполный пакет документов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4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маловероятен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проверка на соответствие пакета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7"/>
        <w:gridCol w:w="1559"/>
        <w:gridCol w:w="1701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Утверждение 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 кварта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Получение 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709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709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Информирование и консультирование специалистами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истерства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недропользователей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постоянной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Представление полн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пакет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709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firstLine="709"/>
              <w:jc w:val="left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7. Ожидаемые измеримые результаты правового регулирования:*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2"/>
        <w:gridCol w:w="1989"/>
        <w:gridCol w:w="2263"/>
        <w:gridCol w:w="2801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достижения целей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Проведение процедуры согласования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Не менее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Анализ качества проведения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Декабрь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4 квартал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20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23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1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20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21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22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23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24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25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6" w:customStyle="1">
    <w:name w:val="Знак"/>
    <w:basedOn w:val="81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19</cp:revision>
  <dcterms:created xsi:type="dcterms:W3CDTF">2022-04-27T14:18:00Z</dcterms:created>
  <dcterms:modified xsi:type="dcterms:W3CDTF">2023-09-19T11:11:15Z</dcterms:modified>
</cp:coreProperties>
</file>