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60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 (инициатор проекта закона Белгородской области):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Департамент инвестиций и инноваций министерства экономического развития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и промышленности Белгородской области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lang w:eastAsia="ru-RU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</w:pP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Проект постановления Правительства Белгородской области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«Об утверждении порядка предоставления субсидий из областного бюджета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br/>
      </w:r>
      <w:r>
        <w:rPr>
          <w:rFonts w:ascii="Times New Roman" w:hAnsi="Times New Roman" w:eastAsia="Calibri" w:cs="Times New Roman"/>
          <w:i/>
          <w:sz w:val="26"/>
          <w:szCs w:val="26"/>
          <w:u w:val="single"/>
          <w:lang w:eastAsia="ru-RU"/>
        </w:rPr>
        <w:t xml:space="preserve">на возмещение затрат образовательных организаций высшего образования, связанных с развитием инжиниринговых центров»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начало: «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25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октября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20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23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г.;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окончание «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08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»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ноября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20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23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Средняя. Проект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постановления дополняет сформированные на территории Белгородской области меры поддержки внедрения в производство инновационных технологий в рамках технологических проектов полного цикла, в целях реализации программы деятельности научно-образовательного це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нтра мирового уровня «Инновационные решения в АПК». Проект постановления устанавливает порядок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Фадеев Александр Викторович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начальник отдела обеспечения деятельности научно-образовательного центра АНО «Центр развития производства»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(4722) 40-05-11 (доб. 6)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Адрес электронной почты: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a.fadeev@nocapk.ru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снижение уровня оказываемых услуг инжиниринговым центром предприятиям реального сектора экономики;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отсутствие меры поддержки, направленной на компенсацию затрат образовательных организаций высшего образования, связанных развитием инжиниринговых центров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данная проблема выявлена в результате мониторинга материально-технической базы инжиниринговых центров и ее соответствие современным запросам действующих предприятий.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невозможность оказания инжиниринговыми центрами услуг по запросу предприятий реального сектора экономики;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снижение уровня импортозамещения;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снижение социально-экономических эффектов для региона из-за сбоев в работе предприятий.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деятельности:*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На федеральном уровне приняты меры поддержки развития инжиниринга, оператором которых является АНО «Центр поддержки инжиниринга и инноваций».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 Цели вводимого правового регулирования и измеримые показатели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Создание оптимальных условий для стабильной и гарантированной реализации программы деятельности научно-образовательного центра мирового уровня «Инновационные решения в АПК».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постановление Правительства Российской Федерации от 18 сентября 2020 года №1492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постановление Правительства Российской Федерации от 30 апреля 2019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№ 537 «О мерах государственной поддержки научно-образовательных центров мирового уровня на основе интеграции образовательных организаций высшего образования и научных организаций и их кооперации с организациями, действующими в реальном секторе экономики»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– в рамках реализации государственной программы Белгородской области «Развитие кадровой политики Белгородской области», утверждённой постановлением Правительства Белгородской области от 30 декабря 2013 года № 530-пп.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4 квартал 2023 года – 1 квартал 2025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 Иная информация о целях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предлагаемого правового регулирования:</w:t>
      </w:r>
      <w:r/>
    </w:p>
    <w:p>
      <w:pPr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Отсутствует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.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Проектом нормативного правового акта предлагается утвердить порядок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центров, включающий: 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- общие положения;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- порядок проведения отбора;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- условия и порядок предоставления субсидии;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- требования к отчетности;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- требования к осуществлению контроля (мониторинга) за соблюдением условий и порядка предоставления субсидии и ответственность за их нарушение.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развитие </w:t>
      </w:r>
      <w:r>
        <w:rPr>
          <w:rFonts w:ascii="Times New Roman" w:hAnsi="Times New Roman" w:cs="Times New Roman"/>
          <w:i/>
          <w:iCs/>
          <w:sz w:val="26"/>
          <w:szCs w:val="26"/>
          <w:u w:val="single"/>
        </w:rPr>
        <w:t xml:space="preserve">образовательными организациями высшего образования инжиниринговых центров </w:t>
      </w:r>
      <w:r>
        <w:rPr>
          <w:rFonts w:ascii="Times New Roman" w:hAnsi="Times New Roman" w:cs="Times New Roman"/>
          <w:i/>
          <w:iCs/>
          <w:sz w:val="26"/>
          <w:szCs w:val="26"/>
          <w:highlight w:val="white"/>
          <w:u w:val="single"/>
        </w:rPr>
        <w:t xml:space="preserve">в рамках реализации программы деятельности научно-образовательного центра мирового уровня «Инновационные ре</w:t>
      </w:r>
      <w:r>
        <w:rPr>
          <w:rFonts w:ascii="Times New Roman" w:hAnsi="Times New Roman" w:cs="Times New Roman"/>
          <w:i/>
          <w:iCs/>
          <w:sz w:val="26"/>
          <w:szCs w:val="26"/>
          <w:highlight w:val="white"/>
          <w:u w:val="single"/>
        </w:rPr>
        <w:t xml:space="preserve">шения в </w:t>
      </w:r>
      <w:r>
        <w:rPr>
          <w:rFonts w:ascii="Times New Roman" w:hAnsi="Times New Roman" w:cs="Times New Roman"/>
          <w:i/>
          <w:iCs/>
          <w:sz w:val="26"/>
          <w:szCs w:val="26"/>
          <w:highlight w:val="white"/>
          <w:u w:val="single"/>
        </w:rPr>
        <w:t xml:space="preserve">АПК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за счет </w:t>
      </w:r>
      <w:r>
        <w:rPr>
          <w:rFonts w:ascii="Times New Roman" w:hAnsi="Times New Roman" w:eastAsia="Times New Roman" w:cs="Times New Roman"/>
          <w:i/>
          <w:iCs/>
          <w:sz w:val="26"/>
          <w:szCs w:val="26"/>
          <w:u w:val="single"/>
          <w:lang w:eastAsia="ru-RU"/>
        </w:rPr>
        <w:t xml:space="preserve">собственных средств.</w:t>
      </w:r>
      <w:r>
        <w:rPr>
          <w:i/>
          <w:iCs/>
          <w:u w:val="singl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 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Предпочтительным вариантом решения проблемы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 считаем принятие постановления Правительства Белгородской области «Об утверждении порядка предоставления субсидий из областного бюджета на возмещение затрат образовательных организаций высшего образования, связанных с развитием инжиниринговых центров».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Принятие проекта постановления позволит обеспечить возмещение затрат образовательных организаций высшего образования, связанных с развитием инжиниринговых центров за счет бюджетных средств, что в свою очередь снизит финансовую нагрузку на организации высшего образования.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4"/>
        <w:gridCol w:w="5103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64" w:type="dxa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i/>
                <w:sz w:val="26"/>
                <w:szCs w:val="26"/>
              </w:rPr>
              <w:t xml:space="preserve">Образовательные организации высшего образования, осуществляющие деятельность на территории Белгородской области и являющиеся участниками программы деятельности научно-образовательного центра мирового уровня «Инновационные решения в АПК»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10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/>
                <w:sz w:val="28"/>
                <w:szCs w:val="28"/>
              </w:rPr>
              <w:t xml:space="preserve">5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969"/>
        <w:gridCol w:w="269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005" w:type="dxa"/>
            <w:vMerge w:val="restart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Образовательные организации высшего образования, осуществляющие деятельность на территории Белгородской области и являющиеся участниками программы деятельности научно-образовательного центра мирового уровня «Инновационные решения в АПК»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Преимущество:</w:t>
            </w:r>
            <w:r/>
          </w:p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- возмещение затрат образовательных организаций высшего образования, связанных с развитием инжиниринговых центров.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Предусмотренное финансирование на 2023 год – 30 млн рублей.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vMerge w:val="continue"/>
            <w:textDirection w:val="lrTb"/>
            <w:noWrap w:val="false"/>
          </w:tcPr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Обязанность: </w:t>
            </w:r>
            <w:bookmarkStart w:id="1" w:name="_Hlk128388422"/>
            <w:r/>
            <w:r/>
          </w:p>
          <w:p>
            <w:pPr>
              <w:ind w:right="57" w:firstLine="709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Cs/>
                <w:i/>
                <w:sz w:val="24"/>
                <w:szCs w:val="24"/>
                <w:u w:val="none"/>
              </w:rPr>
            </w:pPr>
            <w:r/>
            <w:bookmarkStart w:id="2" w:name="_Hlk132986081"/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- предоставление </w:t>
            </w:r>
            <w:r>
              <w:rPr>
                <w:rFonts w:ascii="Times New Roman" w:hAnsi="Times New Roman" w:eastAsia="Times New Roman"/>
                <w:i/>
                <w:iCs/>
                <w:sz w:val="24"/>
                <w:szCs w:val="24"/>
                <w:u w:val="none"/>
                <w:lang w:eastAsia="ru-RU"/>
              </w:rPr>
              <w:t xml:space="preserve">пакета документов, необходимого участия в отборе на получение субсидии.</w:t>
            </w:r>
            <w:r>
              <w:rPr>
                <w:rFonts w:ascii="Times New Roman" w:hAnsi="Times New Roman" w:eastAsia="Times New Roman" w:cs="Times New Roman"/>
                <w:i/>
                <w:iCs/>
                <w:sz w:val="24"/>
                <w:szCs w:val="24"/>
                <w:u w:val="none"/>
              </w:rPr>
            </w:r>
            <w:r>
              <w:rPr>
                <w:i/>
                <w:iCs/>
                <w:sz w:val="24"/>
                <w:szCs w:val="24"/>
                <w:u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Общая стоимость требования –</w:t>
            </w:r>
            <w:r/>
          </w:p>
          <w:p>
            <w:pPr>
              <w:ind w:right="57" w:hanging="27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12,8 тыс.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изменении:*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Министерство экономического развития и промышленности Белгородской области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Осуществляются в рамках ранее установленных полномочий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Дополнительные трудозатраты не 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3402"/>
        <w:gridCol w:w="2835"/>
      </w:tblGrid>
      <w:tr>
        <w:trPr/>
        <w:tc>
          <w:tcPr>
            <w:tcW w:w="343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34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Предоставление субсидий на   возмещение затрат образовательных организаций высшего образования, связанных с развитием инжиниринговых центров  </w:t>
            </w:r>
            <w:r/>
          </w:p>
        </w:tc>
        <w:tc>
          <w:tcPr>
            <w:tcW w:w="283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Финансирование из областного бюджета в 2023 году - 30 млн руб.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/>
          <w:sz w:val="26"/>
          <w:szCs w:val="26"/>
          <w:u w:val="single"/>
        </w:rPr>
        <w:t xml:space="preserve">обязательные требования проектом нормативного правового акта не устанавливаются.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2977"/>
        <w:gridCol w:w="35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47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Предоставление неполного пакета документов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543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Утвержденный проектом постановления исчерпывающий перечень документов позволит существенно снизить данный риск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1559"/>
        <w:gridCol w:w="1701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br/>
              <w:t xml:space="preserve">в СМИ о принятии постановления Правительства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ноябрь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br/>
              <w:t xml:space="preserve">2023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Организация приема предложений на участие в отборе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802"/>
        <w:gridCol w:w="1989"/>
        <w:gridCol w:w="2263"/>
        <w:gridCol w:w="2801"/>
      </w:tblGrid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5 лет)</w:t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2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Предоставление субсидий на   возмещение затрат образовательных организаций высшего образования, связанных с развитием инжиниринговых центров 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9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На общую сумму не более 30,0 млн рублей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Мониторинг перечисления средств субсидии победителям отбора до конца финансового года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0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1 квартал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i/>
                <w:sz w:val="24"/>
                <w:szCs w:val="24"/>
              </w:rPr>
              <w:t xml:space="preserve"> года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IV кв.</w:t>
      </w:r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 </w:t>
      </w:r>
      <w:bookmarkStart w:id="3" w:name="_GoBack"/>
      <w:r/>
      <w:bookmarkEnd w:id="3"/>
      <w:r>
        <w:rPr>
          <w:rFonts w:ascii="Times New Roman" w:hAnsi="Times New Roman" w:eastAsia="Calibri" w:cs="Times New Roman"/>
          <w:i/>
          <w:sz w:val="26"/>
          <w:szCs w:val="26"/>
          <w:u w:val="single"/>
        </w:rPr>
        <w:t xml:space="preserve">2023 г.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Руководитель органа-разработчика</w:t>
      </w:r>
      <w:r/>
    </w:p>
    <w:tbl>
      <w:tblPr>
        <w:tblW w:w="96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2296"/>
        <w:gridCol w:w="1559"/>
        <w:gridCol w:w="142"/>
        <w:gridCol w:w="198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559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vAlign w:val="bottom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984" w:type="dxa"/>
            <w:vAlign w:val="bottom"/>
            <w:textDirection w:val="lrTb"/>
            <w:noWrap w:val="false"/>
          </w:tcPr>
          <w:p>
            <w:pPr>
              <w:ind w:firstLine="70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68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(инициалы, фамилия)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296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(дата)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2" w:type="dxa"/>
            <w:textDirection w:val="lrTb"/>
            <w:noWrap w:val="false"/>
          </w:tcPr>
          <w:p>
            <w:pPr>
              <w:ind w:firstLine="709"/>
              <w:spacing w:after="0" w:line="240" w:lineRule="auto"/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ru-RU"/>
              </w:rPr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(подпись)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* Заполняется для проектов нормативных правовых актов с высокой и средней степенью регулирующего воздействия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sectPr>
      <w:footnotePr/>
      <w:endnotePr/>
      <w:type w:val="nextPage"/>
      <w:pgSz w:w="11906" w:h="16838" w:orient="portrait"/>
      <w:pgMar w:top="567" w:right="566" w:bottom="709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599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599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599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599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599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599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599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599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599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8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599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599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599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599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599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599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character" w:styleId="599" w:default="1">
    <w:name w:val="Default Paragraph Font"/>
    <w:uiPriority w:val="1"/>
    <w:semiHidden/>
    <w:unhideWhenUsed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3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605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606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607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608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609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10" w:customStyle="1">
    <w:name w:val="Знак"/>
    <w:basedOn w:val="59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3</cp:revision>
  <dcterms:created xsi:type="dcterms:W3CDTF">2023-10-24T15:32:00Z</dcterms:created>
  <dcterms:modified xsi:type="dcterms:W3CDTF">2023-10-25T06:23:24Z</dcterms:modified>
</cp:coreProperties>
</file>