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8"/>
        <w:jc w:val="center"/>
        <w:spacing w:before="0" w:after="0" w:line="240" w:lineRule="auto"/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Стандартный расчет издержек</w:t>
      </w:r>
      <w:r/>
    </w:p>
    <w:p>
      <w:pPr>
        <w:pStyle w:val="598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Название государственной поддержки: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SimSun" w:cs="Times New Roman"/>
          <w:bCs/>
          <w:sz w:val="24"/>
          <w:szCs w:val="24"/>
        </w:rPr>
        <w:t xml:space="preserve">Предоставление субсидий из областного бюджета за счет средств федерального бюджета на стимулирование увеличения производства картофеля и овощей.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SimSun" w:cs="Times New Roman"/>
          <w:b/>
          <w:sz w:val="24"/>
          <w:szCs w:val="24"/>
        </w:rPr>
        <w:t xml:space="preserve">Максимальный размер предоставляемой субсидии: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SimSun" w:cs="Times New Roman"/>
          <w:sz w:val="24"/>
          <w:szCs w:val="24"/>
        </w:rPr>
        <w:t xml:space="preserve">В расчете из базовой ставки предоставления субсидии, но не более 90% фактически понесенных затрат получателя субсидии.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Тип требования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Подготовка и представление документов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Частота: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1 раз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Масштаб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25 ед. на 2023 год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Действия: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Предоставление пакета документов на участие в отборе: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на предоставление Субсидий, подготовленное по форме согласно приложению № 1 к Порядку, которое должно содержать согласие на публикацию (размещение) в информационно-телекоммуникацион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ной сети «Интернет» информации об участнике отбора, о подаваемом участником отбора заявлении, иной информации об участнике отбора, связанной с соответствующим отбором, а также согласие на обработку персональных данных (для физического лица) – 1,0 чел./час;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реестр затрат участника отбора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подготовленный по фор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 согласно приложению № 2 к Порядку (далее – Реестр). Указанные затраты подтверждаются копиями первичных учетных документов (договоров, накладных, платежных документов, актов приемки, актов списания семян, удобрений, средств защиты растений) – 2 чел./час;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справку-расчет на предоставление Субсидий за счет 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юджетных средств, подготовленную по форме согласно приложению № 3 к Порядку, подписанную участником отбора и заверенную органом управления агропромышленного комплекса муниципального района (городского округа) по месту расположения хозяйства – 0,5 чел./час;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письма кредитной организации и (или) выписки (справки) по банковскому счету заявителя, заверенных кредитной организацией - 1 чел./час;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выписку из ЕГРЮЛ или выписку из ЕГРИП по состоянию на дату, не превышающую 30 (тридцати) календарных дней до даты подачи заявления, заверенную участником отбора. Виды экономической деятельности по Обще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российскому классификатору видов экономической деятельности, открытые участником отбора, согласно представленным сведениям из ЕГРЮЛ или ЕГРИП, должны соответствовать целям государственной поддержки, указанным в пункте 1.2 раздела I Порядка – 0,25 чел./час;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копию документа, подтверждающего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направленного уч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астником отбора в налоговый орган по месту учета и имеющего отметку налогового органа о его получении (представляется в случае использования участником отбора указанного права), заверенная участником отбора подписью и печатью (при наличии) – 0,25 чел./час;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право собственности, или право пожизненного владения, или право постоянного пользования, или право аренды на земельный участок, на котором выполнены работы, заверенные участником отбора подписью и печатью (при наличии)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0,5 чел./час;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iCs/>
          <w:spacing w:val="-2"/>
          <w:sz w:val="24"/>
          <w:szCs w:val="24"/>
          <w:shd w:val="clear" w:color="auto" w:fill="auto"/>
          <w:lang w:eastAsia="ru-RU"/>
        </w:rPr>
        <w:t xml:space="preserve">- копию отчета по форме № 6-АПК «Отчет об отраслевых показателях деятельности организаций агропромышленного комплекса», или копию отчета по форме № 1-КФХ «Информация о произв</w:t>
      </w:r>
      <w:r>
        <w:rPr>
          <w:rFonts w:ascii="Times New Roman" w:hAnsi="Times New Roman" w:eastAsia="Times New Roman" w:cs="Times New Roman"/>
          <w:iCs/>
          <w:spacing w:val="-2"/>
          <w:sz w:val="24"/>
          <w:szCs w:val="24"/>
          <w:shd w:val="clear" w:color="auto" w:fill="auto"/>
          <w:lang w:eastAsia="ru-RU"/>
        </w:rPr>
        <w:t xml:space="preserve">одственной деятельности глав крестьянских (фермерских) хозяйств – индивидуальных предпринимателей», или копию отчета по форме № 1-ИП «Информация о производственной деятельности индивидуальных предпринимателей» за год, предшествующий году подачи заявления;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1,5 чел./час;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- копию о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тчета федерального статистического наблюдения «Сведения о итогах сева под урожай сельскохозяйственных культур», подготовленную по форме № 4-СХ, №1-фермер за текущий год, утвержденные Федеральной службой государственной статистики, заверенную  участником от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бора </w:t>
      </w:r>
      <w:r>
        <w:rPr>
          <w:rFonts w:ascii="Times New Roman" w:hAnsi="Times New Roman" w:eastAsia="Times New Roman" w:cs="Times New Roman"/>
          <w:iCs/>
          <w:spacing w:val="-2"/>
          <w:sz w:val="24"/>
          <w:szCs w:val="24"/>
        </w:rPr>
        <w:t xml:space="preserve">и органом управления агропромышленного комплекса муниципального района (городского округа) по месту расположения хозяйства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1,25 чел./час;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- копию отчета федерального статистиче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ского наблюдения «Сведения о сборе урожая сельскохозяйственных культур», подготовленную по формам № 29-СХ или </w:t>
        <w:br/>
        <w:t xml:space="preserve">2-фермер, за отчетный финансовый год, утвержденные Федеральной службой государственной статистики, заверенные претендентом на получение Субсидий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1,25 чел./час;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копии отчетов федерального статистического наблюдения «Сведения о производстве и отгрузке сельскохозяйственной продукции» за текущий год, подготовленные по форме П-1(СХ), заверенные претендентом на получение Субсидий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1,5 чел./час;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- информацию (или копию информации, заверенную участником отбора) Главного управления МЧС России по Белгородской области, </w:t>
        <w:br w:type="textWrapping" w:clear="all"/>
        <w:t xml:space="preserve">Управления экологи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ческого и охотничьего надзора Белгородской области</w:t>
        <w:br/>
        <w:t xml:space="preserve">об отсутствии в году, предшествующем году получения субсидии, случаев привлечения к ответственности участника отбора за несоблюдение запрета </w:t>
        <w:br/>
        <w:t xml:space="preserve">на выжигание сухой травянистой растительности, стерни, пожнивых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остатков (за исключением рисовой соломы) на землях сельскохозяйственного назначения, землях запаса и землях населенных пунктов, установленного постановлением Правительства Российской Федерации от 16 сентября 2020 года № 1479 «Об утверждении Правил противо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пожарного режима в Российской Федерации»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1,0 чел./час;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 справку налогового органа, подтверждающую отсутствие у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участника отбора задолженности по налогам, сборам, страховым взноса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м, пеням, штрафам, процентам, подлежащим уплате в соответствии с законодательством Российской Федерации о налогах и сборах, заверенную налоговым органом или подписанную усиленной квалифицированной электронной подписью – 0,25 чел./час;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- копии документов, удостоверяющих сортовые и посадочные качества высаженного посадочного материала, выданных органами по сертификации посадочного материала сельскохозяйственных растений, </w:t>
      </w:r>
      <w:r>
        <w:rPr>
          <w:rFonts w:hint="eastAsia"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подтверждающих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их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соответствие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для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овощных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культур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ГОСТ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 32592-2013, </w:t>
      </w:r>
      <w:r>
        <w:rPr>
          <w:rFonts w:hint="eastAsia"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ГОСТ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 30106-94, ГОСТ 32917-2014, </w:t>
      </w:r>
      <w:r>
        <w:rPr>
          <w:rFonts w:hint="eastAsia"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для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 </w:t>
      </w:r>
      <w:r>
        <w:rPr>
          <w:rFonts w:hint="eastAsia"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картофеля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 – </w:t>
      </w:r>
      <w:r>
        <w:rPr>
          <w:rFonts w:hint="eastAsia"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ГОСТ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auto"/>
          <w:lang w:eastAsia="ru-RU"/>
        </w:rPr>
        <w:t xml:space="preserve"> 33996-2016, заверенные участником отбора подписью и печатью (при наличии), с отметкой о количестве отгруженных (отпущенных) семян.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0,25 чел./час;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копию акта расхода семян и посадочного материала, составленную по </w:t>
      </w:r>
      <w:r>
        <w:fldChar w:fldCharType="begin"/>
      </w:r>
      <w:r>
        <w:instrText xml:space="preserve"> HYPERLINK "consultantplus://offline/ref=97C8DAF1D6C4733C30E059DE2C5ECDC689AE5F333649ED0B3F24865B06FF0A177BD526DBFBE1C16E63C6DDA1DD95B85402BFD7128BC6D6d8j4L"</w:instrText>
      </w:r>
      <w:r>
        <w:fldChar w:fldCharType="separate"/>
      </w:r>
      <w:r>
        <w:rPr>
          <w:rStyle w:val="610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/>
        </w:rPr>
        <w:t xml:space="preserve">форме СП</w:t>
      </w:r>
      <w:r>
        <w:fldChar w:fldCharType="end"/>
      </w:r>
      <w:r>
        <w:fldChar w:fldCharType="begin"/>
      </w:r>
      <w:r>
        <w:instrText xml:space="preserve"> HYPERLINK "consultantplus://offline/ref=97C8DAF1D6C4733C30E059DE2C5ECDC689AE5F333649ED0B3F24865B06FF0A177BD526DBFBE1C16E63C6DDA1DD95B85402BFD7128BC6D6d8j4L"</w:instrText>
      </w:r>
      <w:r>
        <w:fldChar w:fldCharType="separate"/>
      </w:r>
      <w:r>
        <w:rPr>
          <w:rStyle w:val="610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/>
        </w:rPr>
        <w:t xml:space="preserve">-</w:t>
      </w:r>
      <w:r>
        <w:fldChar w:fldCharType="end"/>
      </w:r>
      <w:r>
        <w:fldChar w:fldCharType="begin"/>
      </w:r>
      <w:r>
        <w:instrText xml:space="preserve"> HYPERLINK "consultantplus://offline/ref=97C8DAF1D6C4733C30E059DE2C5ECDC689AE5F333649ED0B3F24865B06FF0A177BD526DBFBE1C16E63C6DDA1DD95B85402BFD7128BC6D6d8j4L"</w:instrText>
      </w:r>
      <w:r>
        <w:fldChar w:fldCharType="separate"/>
      </w:r>
      <w:r>
        <w:rPr>
          <w:rStyle w:val="610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/>
        </w:rPr>
        <w:t xml:space="preserve">13</w:t>
      </w:r>
      <w:r>
        <w:fldChar w:fldCharType="end"/>
      </w:r>
      <w:r>
        <w:fldChar w:fldCharType="begin"/>
      </w:r>
      <w:r>
        <w:instrText xml:space="preserve"> HYPERLINK "consultantplus://offline/ref=97C8DAF1D6C4733C30E059DE2C5ECDC689AE5F333649ED0B3F24865B06FF0A177BD526DBFBE1C16E63C6DDA1DD95B85402BFD7128BC6D6d8j4L"</w:instrText>
      </w:r>
      <w:r>
        <w:fldChar w:fldCharType="separate"/>
      </w:r>
      <w:r>
        <w:rPr>
          <w:rStyle w:val="610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/>
        </w:rPr>
        <w:t xml:space="preserve">,</w:t>
      </w:r>
      <w: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утвержденной Федеральной службой государственной статистики, заверенные участником отбора подписью и печатью (при наличии)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1,0 чел./час;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подраздел «Технические решения» раздела «Сведения об инженерном оборудовании»,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содержащий информацию об имеющихся мощностях инженерно-технического обеспечения производства овощей защищенного грунта, произведенных с применением технологии досве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чивания, или заключение уполномоченной организации по технической оценке энергетического оборудования и мощностей досветки, используемых предприятием при производстве овощей защищенного грунта, заверенную участником отбора подписью и печатью (при наличии)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1,0 чел./час;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справку об использовании ассимиляционной досветки, заверенную участником отбора подписью и печатью (при наличии)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1,0 чел./час.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Итого трудозатрат: 15,5 чел./часов;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Среднемесячная заработная плата по Белгородской области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 рублей. 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Средняя стоимость часа работы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235,11 рубля (41 380/22 рабочих дня/ 8 рабочих часов). </w:t>
      </w:r>
      <w:r/>
    </w:p>
    <w:p>
      <w:pPr>
        <w:pStyle w:val="598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Общая стоимость трудозатрат: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91 105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рубля.</w:t>
      </w:r>
      <w:r/>
    </w:p>
    <w:p>
      <w:pPr>
        <w:pStyle w:val="598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pStyle w:val="59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нансирование в полном объеме заложено в закон Белгородской области Закон Белгородской области от 23 декабря 2022 года № 246 «Об областном бюджете на 2023 год и на плановый период 2024 и 2025 годов». На 2023 год на данные виды поддержки предусматривается 89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377,8 тыс. рублей.</w:t>
      </w:r>
      <w:r/>
    </w:p>
    <w:sectPr>
      <w:footnotePr>
        <w:numRestart w:val="continuous"/>
      </w:footnotePr>
      <w:endnotePr/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ahoma">
    <w:panose1 w:val="020B0604030504040204"/>
  </w:font>
  <w:font w:name="Noto Sans Devanagari">
    <w:panose1 w:val="020B05020405040202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5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5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5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5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5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5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5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5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5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5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5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5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table" w:styleId="5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598" w:default="1">
    <w:name w:val="Normal"/>
    <w:next w:val="598"/>
    <w:link w:val="598"/>
    <w:pPr>
      <w:spacing w:before="0" w:after="160" w:line="256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character" w:styleId="599">
    <w:name w:val="WW8Num1z0"/>
    <w:next w:val="599"/>
    <w:link w:val="598"/>
  </w:style>
  <w:style w:type="character" w:styleId="600">
    <w:name w:val="WW8Num1z1"/>
    <w:next w:val="600"/>
    <w:link w:val="598"/>
  </w:style>
  <w:style w:type="character" w:styleId="601">
    <w:name w:val="WW8Num1z2"/>
    <w:next w:val="601"/>
    <w:link w:val="598"/>
  </w:style>
  <w:style w:type="character" w:styleId="602">
    <w:name w:val="WW8Num1z3"/>
    <w:next w:val="602"/>
    <w:link w:val="598"/>
  </w:style>
  <w:style w:type="character" w:styleId="603">
    <w:name w:val="WW8Num1z4"/>
    <w:next w:val="603"/>
    <w:link w:val="598"/>
  </w:style>
  <w:style w:type="character" w:styleId="604">
    <w:name w:val="WW8Num1z5"/>
    <w:next w:val="604"/>
    <w:link w:val="598"/>
  </w:style>
  <w:style w:type="character" w:styleId="605">
    <w:name w:val="WW8Num1z6"/>
    <w:next w:val="605"/>
    <w:link w:val="598"/>
  </w:style>
  <w:style w:type="character" w:styleId="606">
    <w:name w:val="WW8Num1z7"/>
    <w:next w:val="606"/>
    <w:link w:val="598"/>
  </w:style>
  <w:style w:type="character" w:styleId="607">
    <w:name w:val="WW8Num1z8"/>
    <w:next w:val="607"/>
    <w:link w:val="598"/>
  </w:style>
  <w:style w:type="character" w:styleId="608">
    <w:name w:val="Основной шрифт абзаца"/>
    <w:next w:val="608"/>
    <w:link w:val="598"/>
  </w:style>
  <w:style w:type="character" w:styleId="609">
    <w:name w:val="Текст выноски Знак"/>
    <w:next w:val="609"/>
    <w:link w:val="598"/>
    <w:rPr>
      <w:rFonts w:ascii="Segoe UI" w:hAnsi="Segoe UI" w:cs="Segoe UI"/>
      <w:sz w:val="18"/>
      <w:szCs w:val="18"/>
    </w:rPr>
  </w:style>
  <w:style w:type="character" w:styleId="610">
    <w:name w:val="Интернет-ссылка"/>
    <w:next w:val="610"/>
    <w:link w:val="598"/>
    <w:rPr>
      <w:color w:val="0563c1"/>
      <w:u w:val="single"/>
    </w:rPr>
  </w:style>
  <w:style w:type="paragraph" w:styleId="611">
    <w:name w:val="Заголовок"/>
    <w:basedOn w:val="598"/>
    <w:next w:val="612"/>
    <w:link w:val="598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12">
    <w:name w:val="Основной текст"/>
    <w:basedOn w:val="598"/>
    <w:next w:val="612"/>
    <w:link w:val="598"/>
    <w:pPr>
      <w:spacing w:before="0" w:after="140" w:line="276" w:lineRule="auto"/>
    </w:pPr>
  </w:style>
  <w:style w:type="paragraph" w:styleId="613">
    <w:name w:val="Список"/>
    <w:basedOn w:val="612"/>
    <w:next w:val="613"/>
    <w:link w:val="598"/>
    <w:rPr>
      <w:rFonts w:ascii="PT Astra Serif" w:hAnsi="PT Astra Serif" w:cs="Noto Sans Devanagari"/>
    </w:rPr>
  </w:style>
  <w:style w:type="paragraph" w:styleId="614">
    <w:name w:val="Название"/>
    <w:basedOn w:val="598"/>
    <w:next w:val="614"/>
    <w:link w:val="598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15">
    <w:name w:val="Указатель"/>
    <w:basedOn w:val="598"/>
    <w:next w:val="615"/>
    <w:link w:val="598"/>
    <w:pPr>
      <w:suppressLineNumbers/>
    </w:pPr>
    <w:rPr>
      <w:rFonts w:ascii="PT Astra Serif" w:hAnsi="PT Astra Serif" w:cs="Noto Sans Devanagari"/>
    </w:rPr>
  </w:style>
  <w:style w:type="paragraph" w:styleId="616">
    <w:name w:val="Текст выноски"/>
    <w:basedOn w:val="598"/>
    <w:next w:val="616"/>
    <w:link w:val="59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847" w:default="1">
    <w:name w:val="Default Paragraph Font"/>
    <w:uiPriority w:val="1"/>
    <w:semiHidden/>
    <w:unhideWhenUsed/>
  </w:style>
  <w:style w:type="numbering" w:styleId="84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7</cp:revision>
  <dcterms:created xsi:type="dcterms:W3CDTF">2023-02-07T16:40:00Z</dcterms:created>
  <dcterms:modified xsi:type="dcterms:W3CDTF">2023-08-10T09:21:35Z</dcterms:modified>
</cp:coreProperties>
</file>