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46"/>
        <w:jc w:val="center"/>
        <w:rPr>
          <w:rFonts w:ascii="Times New Roman" w:hAnsi="Times New Roman" w:cs="Times New Roman"/>
          <w:b/>
          <w:sz w:val="26"/>
          <w:szCs w:val="26"/>
        </w:rPr>
      </w:pPr>
      <w:r/>
      <w:bookmarkStart w:id="0" w:name="P439"/>
      <w:r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Сводный отчет</w:t>
      </w:r>
      <w:r/>
    </w:p>
    <w:p>
      <w:pPr>
        <w:pStyle w:val="84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результатах проведения оценки регулирующего воздействия</w:t>
      </w:r>
      <w:r/>
    </w:p>
    <w:p>
      <w:pPr>
        <w:pStyle w:val="84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проекта нормативного правового акта</w:t>
      </w:r>
      <w:r/>
    </w:p>
    <w:p>
      <w:pPr>
        <w:pStyle w:val="84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1. Общая информация:</w:t>
      </w:r>
      <w:r>
        <w:rPr>
          <w:b/>
          <w:bCs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lang w:eastAsia="ru-RU"/>
        </w:rPr>
        <w:t xml:space="preserve">1.1. Орган-разработчик:</w:t>
      </w: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</w:rPr>
        <w:t xml:space="preserve">департамент инвестиций и инноваций министерства экономического развития и промышленности Белгородской области.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lang w:eastAsia="ru-RU"/>
        </w:rPr>
        <w:t xml:space="preserve">1.2. Вид и наименование проекта нормативного правового акта:</w:t>
      </w:r>
      <w:r>
        <w:rPr>
          <w:b/>
          <w:bCs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проект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Правительства Белгородской области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«О внесении изменений в постановление Правительства Белгородской области от 27 апреля 2005 года № 93-пп</w:t>
      </w:r>
      <w:r>
        <w:rPr>
          <w:rFonts w:ascii="Times New Roman" w:hAnsi="Times New Roman" w:cs="Times New Roman"/>
          <w:sz w:val="26"/>
          <w:szCs w:val="26"/>
        </w:rPr>
        <w:t xml:space="preserve">».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1.3. Сроки проведения публичного обсуждения проекта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нормативного правового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акта: начало: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«09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»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val="ru-RU"/>
        </w:rPr>
        <w:t xml:space="preserve">июля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202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г., окончание «23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»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val="ru-RU"/>
        </w:rPr>
        <w:t xml:space="preserve">июля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202</w:t>
      </w:r>
      <w:r>
        <w:rPr>
          <w:rFonts w:hint="default" w:ascii="Times New Roman" w:hAnsi="Times New Roman" w:eastAsia="Times New Roman" w:cs="Times New Roman"/>
          <w:sz w:val="26"/>
          <w:szCs w:val="26"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г.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sz w:val="26"/>
          <w:szCs w:val="26"/>
          <w:highlight w:val="none"/>
          <w:lang w:val="ru-RU"/>
        </w:rPr>
      </w:r>
      <w:r>
        <w:rPr>
          <w:rFonts w:hint="default" w:ascii="Times New Roman" w:hAnsi="Times New Roman" w:eastAsia="Calibri" w:cs="Times New Roman"/>
          <w:sz w:val="26"/>
          <w:szCs w:val="26"/>
          <w:highlight w:val="none"/>
          <w:lang w:val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1.4. Степень регулирующего воздействия проекта нормативного правового акта: 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средняя.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 Проектом постановления Правительства Белгородской области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вносятся изменения </w:t>
      </w:r>
      <w:r>
        <w:rPr>
          <w:rFonts w:ascii="Times New Roman" w:hAnsi="Times New Roman" w:cs="Times New Roman"/>
          <w:sz w:val="26"/>
          <w:szCs w:val="26"/>
        </w:rPr>
        <w:t xml:space="preserve">в Порядок </w:t>
      </w:r>
      <w:r>
        <w:rPr>
          <w:rFonts w:ascii="Times New Roman" w:hAnsi="Times New Roman" w:cs="Times New Roman"/>
          <w:sz w:val="26"/>
          <w:szCs w:val="26"/>
        </w:rPr>
        <w:t xml:space="preserve">рассмотрения и одобрения Инвестиционным советом </w:t>
      </w:r>
      <w:r>
        <w:rPr>
          <w:rFonts w:ascii="Times New Roman" w:hAnsi="Times New Roman" w:cs="Times New Roman"/>
          <w:sz w:val="26"/>
          <w:szCs w:val="26"/>
        </w:rPr>
        <w:br/>
        <w:t xml:space="preserve">при Губернаторе Белгородской области (далее – Совет) инвестиционных проектов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Предусмотрена возможность рассмотрения </w:t>
      </w:r>
      <w:r>
        <w:rPr>
          <w:rFonts w:ascii="Times New Roman" w:hAnsi="Times New Roman" w:cs="Times New Roman"/>
          <w:sz w:val="26"/>
          <w:szCs w:val="26"/>
        </w:rPr>
        <w:t xml:space="preserve">Инвестиционным советом </w:t>
      </w:r>
      <w:r>
        <w:rPr>
          <w:rFonts w:ascii="Times New Roman" w:hAnsi="Times New Roman" w:cs="Times New Roman"/>
          <w:sz w:val="26"/>
          <w:szCs w:val="26"/>
        </w:rPr>
        <w:t xml:space="preserve">инвестиционных проектов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 xml:space="preserve">целью </w:t>
      </w:r>
      <w:r>
        <w:rPr>
          <w:rFonts w:ascii="Times New Roman" w:hAnsi="Times New Roman" w:cs="Times New Roman"/>
          <w:sz w:val="26"/>
          <w:szCs w:val="26"/>
        </w:rPr>
        <w:t xml:space="preserve">включения их в Стратегию социально-экономического развития Белгородской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1.5. Контактная информация об исполнителе в органе-разработчике:</w:t>
      </w:r>
      <w:r>
        <w:rPr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hint="default"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Ф.И.О.: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Брынцева Елена Анатольевна</w:t>
      </w:r>
      <w:r>
        <w:rPr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Должность: з</w:t>
      </w:r>
      <w:r>
        <w:rPr>
          <w:rFonts w:ascii="Times New Roman" w:hAnsi="Times New Roman" w:cs="Times New Roman"/>
          <w:sz w:val="26"/>
          <w:szCs w:val="26"/>
        </w:rPr>
        <w:t xml:space="preserve">аместитель начальника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отдела развития инноваций и оценки регулирующего воздействия департамента инвестиций и инноваций министерства экономического развития и промышленности Белгородской области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Тел.: 8 (4722) 32-87-4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5. Адрес электронной почты: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brinceva_ea@belgov.ru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2. Описание проблемы, на решение которой направлено вводимое правовое регулирование:</w:t>
      </w:r>
      <w:r>
        <w:rPr>
          <w:b/>
          <w:bCs/>
        </w:rPr>
      </w:r>
      <w:r/>
    </w:p>
    <w:p>
      <w:pPr>
        <w:ind w:firstLine="709"/>
        <w:jc w:val="both"/>
        <w:spacing w:after="0" w:line="240" w:lineRule="auto"/>
        <w:tabs>
          <w:tab w:val="center" w:pos="481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2.1. Проблема, на решение которой направлен предлагаемый способ правового регулирования: </w:t>
      </w:r>
      <w:r>
        <w:rPr>
          <w:rFonts w:ascii="Times New Roman" w:hAnsi="Times New Roman" w:eastAsia="Calibri" w:cs="Times New Roman"/>
          <w:sz w:val="26"/>
          <w:szCs w:val="26"/>
        </w:rPr>
        <w:t xml:space="preserve">не определен порядок рассмотрения на </w:t>
      </w:r>
      <w:r>
        <w:rPr>
          <w:rFonts w:ascii="Times New Roman" w:hAnsi="Times New Roman" w:cs="Times New Roman"/>
          <w:sz w:val="26"/>
          <w:szCs w:val="26"/>
        </w:rPr>
        <w:t xml:space="preserve">Инвестиционном совете </w:t>
      </w:r>
      <w:r>
        <w:rPr>
          <w:rFonts w:ascii="Times New Roman" w:hAnsi="Times New Roman" w:cs="Times New Roman"/>
          <w:sz w:val="26"/>
          <w:szCs w:val="26"/>
        </w:rPr>
        <w:t xml:space="preserve">при Губернаторе Белгородской</w:t>
      </w:r>
      <w:r>
        <w:rPr>
          <w:rFonts w:ascii="Times New Roman" w:hAnsi="Times New Roman" w:eastAsia="Calibri" w:cs="Times New Roman"/>
          <w:sz w:val="26"/>
          <w:szCs w:val="26"/>
        </w:rPr>
        <w:t xml:space="preserve"> инвестиционных проектов в </w:t>
      </w:r>
      <w:r>
        <w:rPr>
          <w:rFonts w:ascii="Times New Roman" w:hAnsi="Times New Roman" w:cs="Times New Roman"/>
          <w:sz w:val="26"/>
          <w:szCs w:val="26"/>
        </w:rPr>
        <w:t xml:space="preserve">целях </w:t>
      </w:r>
      <w:r>
        <w:rPr>
          <w:rFonts w:ascii="Times New Roman" w:hAnsi="Times New Roman" w:cs="Times New Roman"/>
          <w:sz w:val="26"/>
          <w:szCs w:val="26"/>
        </w:rPr>
        <w:t xml:space="preserve">включения их </w:t>
        <w:br/>
        <w:t xml:space="preserve">в Стратегию социально-экономического развития Белгородской области</w:t>
      </w:r>
      <w:r>
        <w:rPr>
          <w:rFonts w:ascii="Times New Roman" w:hAnsi="Times New Roman" w:eastAsia="Calibri" w:cs="Times New Roman"/>
          <w:sz w:val="26"/>
          <w:szCs w:val="26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2.2. Информация о возникновении и выявлении проблемы: </w:t>
      </w:r>
      <w:r>
        <w:rPr>
          <w:rFonts w:ascii="Times New Roman" w:hAnsi="Times New Roman" w:eastAsia="Calibri" w:cs="Times New Roman"/>
          <w:sz w:val="26"/>
          <w:szCs w:val="26"/>
        </w:rPr>
        <w:t xml:space="preserve">обращение инвесторов, реализующих крупные инвестиционные проекты на территории Белгородской области.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2.3. Негативные эффекты, возникающие в связи с наличием рассматриваемой проблемы: </w:t>
      </w:r>
      <w:r>
        <w:rPr>
          <w:rFonts w:ascii="Times New Roman" w:hAnsi="Times New Roman" w:eastAsia="Calibri" w:cs="Times New Roman"/>
          <w:b w:val="0"/>
          <w:bCs w:val="0"/>
          <w:sz w:val="26"/>
          <w:szCs w:val="26"/>
        </w:rPr>
        <w:t xml:space="preserve">отсутствует возможность оказания государственной поддержки хозяйствующим субъектам, реализующим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инвестиционные проекты, требующим вненсения в Стратегию </w:t>
      </w:r>
      <w:r>
        <w:rPr>
          <w:rFonts w:ascii="Times New Roman" w:hAnsi="Times New Roman" w:cs="Times New Roman"/>
          <w:sz w:val="26"/>
          <w:szCs w:val="26"/>
        </w:rPr>
        <w:t xml:space="preserve">социально-экономического развития Белгородской области</w:t>
      </w:r>
      <w:r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</w:t>
      </w:r>
      <w:r>
        <w:rPr>
          <w:rFonts w:ascii="Times New Roman" w:hAnsi="Times New Roman" w:eastAsia="Calibri" w:cs="Times New Roman"/>
          <w:b w:val="0"/>
          <w:bCs w:val="0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2.4. Анализ опыта иных субъектов Российской Федерации в соответствующих сферах деятельности:</w:t>
      </w:r>
      <w:r>
        <w:rPr>
          <w:b/>
          <w:bCs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6"/>
          <w:szCs w:val="26"/>
        </w:rPr>
        <w:t xml:space="preserve">В Пермском крае</w:t>
      </w: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6"/>
          <w:szCs w:val="26"/>
        </w:rPr>
        <w:t xml:space="preserve"> создан Совет по предпринимательству и улучшению инвестиционного климата при Губернаторе. После одобрения проектов совет помогает интегрировать инициат</w:t>
      </w: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6"/>
          <w:szCs w:val="26"/>
        </w:rPr>
        <w:t xml:space="preserve">ивы в общую стратегию развития края. 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6"/>
          <w:szCs w:val="26"/>
        </w:rPr>
        <w:t xml:space="preserve">В Нижегородской области </w:t>
      </w: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6"/>
          <w:szCs w:val="26"/>
        </w:rPr>
        <w:t xml:space="preserve">Президиум Совета по стратегии развития и инвестициям также выполняет функцию инвестиционного комитета: он одобряет проекты, чем открывает доступ к мерам поддержки (налоговые льготы, административное сопровождение). 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В </w:t>
      </w: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6"/>
          <w:szCs w:val="26"/>
        </w:rPr>
        <w:t xml:space="preserve">Ростовской област</w:t>
      </w: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6"/>
          <w:szCs w:val="26"/>
        </w:rPr>
        <w:t xml:space="preserve">и действует Совет по инвестициям при Губернаторе. Министерство экономического развития по принципу «одного окна» инициирует рассмотрение вопросов по проектам в повестке совета. 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r>
      <w:r/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Цели вводимого правового регулирования и измеримые показатели их достижения:</w:t>
      </w:r>
      <w:r>
        <w:rPr>
          <w:b/>
          <w:bCs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3.1. Описание целей предлагаемого правового регулирования: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присвоение инвестиционным проектам статуса одобренных Инвестиционным советом </w:t>
        <w:br/>
      </w:r>
      <w:r>
        <w:rPr>
          <w:rFonts w:ascii="Times New Roman" w:hAnsi="Times New Roman" w:cs="Times New Roman"/>
          <w:sz w:val="26"/>
          <w:szCs w:val="26"/>
        </w:rPr>
        <w:t xml:space="preserve">при Губернаторе Белгородской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с целью включения их</w:t>
      </w:r>
      <w:r>
        <w:rPr>
          <w:rFonts w:ascii="Times New Roman" w:hAnsi="Times New Roman" w:cs="Times New Roman"/>
          <w:sz w:val="26"/>
          <w:szCs w:val="26"/>
        </w:rPr>
        <w:t xml:space="preserve"> в Стратегию социально-экономического развития Белгородской области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3.2. Обоснование соответствия целей предлагаемого прав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ового регу</w:t>
      </w: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лирования принципам правового регулирования:</w:t>
      </w:r>
      <w:r>
        <w:rPr>
          <w:b/>
          <w:bCs/>
        </w:rPr>
      </w:r>
      <w:r/>
    </w:p>
    <w:p>
      <w:pPr>
        <w:ind w:firstLine="709"/>
        <w:jc w:val="both"/>
        <w:spacing w:after="0" w:line="240" w:lineRule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Проект нормативного правового а</w:t>
      </w:r>
      <w:r>
        <w:rPr>
          <w:rFonts w:ascii="Times New Roman" w:hAnsi="Times New Roman" w:eastAsia="Calibri" w:cs="Times New Roman"/>
          <w:sz w:val="26"/>
          <w:szCs w:val="26"/>
        </w:rPr>
        <w:t xml:space="preserve">кта разработан в соответствии с 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Белгородской области от 30 августа 2016 года </w:t>
        <w:br/>
        <w:t xml:space="preserve">№ 322-пп «Об утверждении Порядков разработки</w:t>
      </w:r>
      <w:r>
        <w:rPr>
          <w:rFonts w:ascii="Times New Roman" w:hAnsi="Times New Roman" w:cs="Times New Roman"/>
          <w:sz w:val="26"/>
          <w:szCs w:val="26"/>
        </w:rPr>
        <w:t xml:space="preserve">, корректировки, осуществления мониторинга и контроля реализации Стратегии социально-экономического развития Белгородской области и выполнения Плана мероприятий по ее реализации»</w:t>
      </w:r>
      <w:r>
        <w:rPr>
          <w:rFonts w:hint="default" w:ascii="Times New Roman" w:hAnsi="Times New Roman" w:eastAsia="Calibri" w:cs="Times New Roman"/>
          <w:sz w:val="26"/>
          <w:szCs w:val="26"/>
          <w:lang w:val="ru-RU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3.3. Сроки достижения целей предлагаемого правового регулирования:</w:t>
      </w:r>
      <w:r>
        <w:rPr>
          <w:b/>
          <w:bCs/>
        </w:rPr>
      </w:r>
      <w:r/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декабрь 202</w:t>
      </w:r>
      <w:r>
        <w:rPr>
          <w:rFonts w:hint="default" w:ascii="Times New Roman" w:hAnsi="Times New Roman" w:eastAsia="Calibri" w:cs="Times New Roman"/>
          <w:sz w:val="26"/>
          <w:szCs w:val="26"/>
          <w:lang w:val="ru-RU"/>
        </w:rPr>
        <w:t xml:space="preserve">6</w:t>
      </w:r>
      <w:r>
        <w:rPr>
          <w:rFonts w:ascii="Times New Roman" w:hAnsi="Times New Roman" w:eastAsia="Calibri" w:cs="Times New Roman"/>
          <w:sz w:val="26"/>
          <w:szCs w:val="26"/>
        </w:rPr>
        <w:t xml:space="preserve"> года.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3.4.</w:t>
      </w:r>
      <w:r>
        <w:rPr>
          <w:rFonts w:ascii="Times New Roman" w:hAnsi="Times New Roman" w:eastAsia="Calibri" w:cs="Times New Roman"/>
          <w:b/>
          <w:bCs/>
          <w:sz w:val="26"/>
          <w:szCs w:val="26"/>
          <w:lang w:val="en-US"/>
        </w:rPr>
        <w:t xml:space="preserve"> </w:t>
      </w: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Иная информация о целях предлагаемого правового регулирования:</w:t>
      </w:r>
      <w:r>
        <w:rPr>
          <w:b/>
          <w:bCs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Отсутствует</w:t>
      </w:r>
      <w:r/>
    </w:p>
    <w:p>
      <w:pPr>
        <w:contextualSpacing/>
        <w:ind w:left="709"/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4. Описание предлагаемого правового регулирования:</w:t>
      </w:r>
      <w:r>
        <w:rPr>
          <w:b/>
          <w:bCs/>
        </w:rPr>
      </w:r>
      <w:r/>
    </w:p>
    <w:p>
      <w:pPr>
        <w:ind w:firstLine="709"/>
        <w:jc w:val="both"/>
        <w:spacing w:after="0" w:line="240" w:lineRule="auto"/>
        <w:rPr>
          <w:rFonts w:hint="default"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4.1. Описание предлагаемого способа решения проблемы и преодоления связанных с ней негативных эффектов: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 проектом нормативного правового акта </w:t>
      </w:r>
      <w:r>
        <w:rPr>
          <w:rFonts w:ascii="Times New Roman" w:hAnsi="Times New Roman" w:eastAsia="Calibri" w:cs="Times New Roman"/>
          <w:sz w:val="26"/>
          <w:szCs w:val="26"/>
          <w:highlight w:val="none"/>
          <w:lang w:val="ru-RU"/>
        </w:rPr>
        <w:t xml:space="preserve">утвержда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ется: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-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порядок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рассмотрения и одобрения Советом инвестиционных проектов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целью включения их</w:t>
      </w:r>
      <w:r>
        <w:rPr>
          <w:rFonts w:ascii="Times New Roman" w:hAnsi="Times New Roman" w:cs="Times New Roman"/>
          <w:sz w:val="26"/>
          <w:szCs w:val="26"/>
        </w:rPr>
        <w:t xml:space="preserve"> в Стратегию социально-экономического развития Белгородской области</w:t>
      </w:r>
      <w:r/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- список документов, предоставляемый для рассмотрения Советом;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hint="default"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- условия для вынесения инвестиционного проекта на рассмотрение Советом.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firstLine="709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Calibri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4.2. Альтернативные варианты решения проблемы: </w:t>
      </w:r>
      <w:r>
        <w:rPr>
          <w:rFonts w:ascii="Times New Roman" w:hAnsi="Times New Roman" w:eastAsia="Calibri" w:cs="Times New Roman"/>
          <w:b w:val="0"/>
          <w:bCs w:val="0"/>
          <w:sz w:val="26"/>
          <w:szCs w:val="26"/>
        </w:rPr>
        <w:t xml:space="preserve">рассмотрение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Инвестиционным советом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при Губернаторе Белгородской области</w:t>
      </w:r>
      <w:r>
        <w:rPr>
          <w:rFonts w:ascii="Times New Roman" w:hAnsi="Times New Roman" w:eastAsia="Calibri" w:cs="Times New Roman"/>
          <w:b w:val="0"/>
          <w:bCs w:val="0"/>
          <w:sz w:val="26"/>
          <w:szCs w:val="26"/>
        </w:rPr>
        <w:t xml:space="preserve"> инвестиционных проектов без учета критериев для включения в Стратегию</w:t>
      </w:r>
      <w:r>
        <w:rPr>
          <w:rFonts w:ascii="Times New Roman" w:hAnsi="Times New Roman" w:eastAsia="Calibri" w:cs="Times New Roman"/>
          <w:b w:val="0"/>
          <w:bCs w:val="0"/>
          <w:sz w:val="26"/>
          <w:szCs w:val="26"/>
        </w:rPr>
        <w:t xml:space="preserve">; </w:t>
      </w:r>
      <w:r>
        <w:rPr>
          <w:b w:val="0"/>
          <w:bCs w:val="0"/>
        </w:rPr>
      </w:r>
      <w:r/>
    </w:p>
    <w:p>
      <w:pPr>
        <w:ind w:firstLine="709"/>
        <w:jc w:val="both"/>
        <w:keepLines w:val="0"/>
        <w:keepNext w:val="0"/>
        <w:pageBreakBefore w:val="0"/>
        <w:spacing w:after="0" w:line="240" w:lineRule="auto"/>
        <w:widowControl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4.3. Обоснование выбора предлагаемого способа решения проблемы:</w:t>
      </w:r>
      <w:r>
        <w:rPr>
          <w:b/>
          <w:bCs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Оптимальным вариантом нормативного регулирования, по мнению разработчика, является утверждение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проекта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Правительства Белгородской области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«О внесении изменений в постановление Правительства Белгородской области от 27 апреля 2005 года № 93-пп</w:t>
      </w:r>
      <w:r>
        <w:rPr>
          <w:rFonts w:ascii="Times New Roman" w:hAnsi="Times New Roman" w:cs="Times New Roman"/>
          <w:sz w:val="26"/>
          <w:szCs w:val="26"/>
        </w:rPr>
        <w:t xml:space="preserve">», позволяющего не только установить порядок рассмотрения 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и одобрения Советом инвестиционных проектов </w:t>
        <w:br/>
        <w:t xml:space="preserve">с целью включения их в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Стратегию социально-экономического развития Белгородской области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, но и установить четкие критерии соответствия рассматриваемых проектов.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Необходимыми условиями для вынесения инвестиционного проекта </w:t>
        <w:br/>
        <w:t xml:space="preserve">на рассмотрение Советом являются: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соответствие инвестиционного проекта 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приоритетам и целям, определенным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 в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Стратегии социально-экономического развития Белгородской области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;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реализация инвестиционного проекта в сферах (отраслях): сельское хозяйство, перерабатывающая промышленность, добыча полезных ископаемых;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общая стоимость проекта не менее 1,0 млрд рублей;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проектом предусмотрено создание не менее 50 новых рабочих мест;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уровень заработной платы не ниже средней по отрасли;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 увеличение объема ежегодных налоговых поступлений в консолидированный бюджет области не менее чем на 10,0 млн рублей;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отсутствие просроченной задолженности по платежам в бюджетную систему Российской Федерации;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подтверждение источников финансирования.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  <w:t xml:space="preserve">Для получения статуса инвестиционного проекта, одобренного Советом, хозяйствующий субъект представляет в министерство экономического развития </w:t>
        <w:br/>
        <w:t xml:space="preserve">и промышленности Белгородской области заверенные подписью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рук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оводителя организации и печатью организации</w:t>
      </w:r>
      <w:r>
        <w:rPr>
          <w:rFonts w:ascii="Times New Roman" w:hAnsi="Times New Roman" w:eastAsia="Calibri" w:cs="Times New Roman"/>
          <w:b w:val="0"/>
          <w:bCs w:val="0"/>
          <w:sz w:val="26"/>
          <w:szCs w:val="26"/>
          <w:highlight w:val="none"/>
        </w:rPr>
        <w:t xml:space="preserve"> пакет документов.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shd w:val="clear" w:color="auto" w:fill="ffffff"/>
        </w:rPr>
        <w:t xml:space="preserve">Трудозатраты на подготовку пакета документов составят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shd w:val="clear" w:color="auto" w:fill="ffffff"/>
        </w:rPr>
        <w:t xml:space="preserve">56,5 чел./часов.</w:t>
      </w:r>
      <w:r>
        <w:rPr>
          <w:rFonts w:ascii="Times New Roman" w:hAnsi="Times New Roman" w:cs="Times New Roman"/>
          <w:b w:val="0"/>
          <w:bCs w:val="0"/>
          <w:i w:val="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 xml:space="preserve">При среднемесячной заработной плате по Белгородской области: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shd w:val="clear" w:color="auto" w:fill="ffffff"/>
        </w:rPr>
        <w:t xml:space="preserve">86408,9 руб.</w:t>
      </w:r>
      <w:r>
        <w:rPr>
          <w:rFonts w:ascii="Times New Roman" w:hAnsi="Times New Roman" w:cs="Times New Roman"/>
          <w:b w:val="0"/>
          <w:bCs w:val="0"/>
          <w:i w:val="0"/>
          <w:sz w:val="26"/>
          <w:szCs w:val="26"/>
          <w:shd w:val="clear" w:color="auto" w:fill="ffffff"/>
        </w:rPr>
        <w:t xml:space="preserve"> общая стоимость требования составит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1552,96 тыс. руб. </w:t>
      </w:r>
      <w:r>
        <w:rPr>
          <w:b w:val="0"/>
          <w:bCs w:val="0"/>
        </w:rPr>
      </w:r>
      <w:r/>
    </w:p>
    <w:p>
      <w:pPr>
        <w:ind w:firstLine="708"/>
        <w:jc w:val="both"/>
        <w:spacing w:after="0" w:afterAutospacing="0" w:line="240" w:lineRule="auto"/>
        <w:rPr>
          <w:rFonts w:ascii="Times New Roman" w:hAnsi="Times New Roman" w:cs="Times New Roman"/>
          <w:b/>
          <w:bCs w:val="0"/>
          <w:i w:val="0"/>
          <w:sz w:val="26"/>
          <w:szCs w:val="26"/>
        </w:rPr>
      </w:pPr>
      <w:r>
        <w:rPr>
          <w:rFonts w:ascii="Times New Roman" w:hAnsi="Times New Roman" w:cs="Times New Roman"/>
          <w:b/>
          <w:bCs/>
          <w:i w:val="0"/>
          <w:sz w:val="26"/>
          <w:szCs w:val="26"/>
          <w:shd w:val="clear" w:color="auto" w:fill="ffffff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Данные нормы позволят исключить неопределенность заявителей и избежать дополнительных трудозатрат на подготовку пакета документов, в случае несоответствия инвестиционного проекта требованиям.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4.4.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  <w:lang w:eastAsia="ru-RU"/>
        </w:rPr>
        <w:t xml:space="preserve"> </w:t>
      </w:r>
      <w:r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  <w:t xml:space="preserve">Основные группы субъектов предпринимательской и иной экономической деятельности</w:t>
      </w:r>
      <w:r>
        <w:rPr>
          <w:rFonts w:ascii="Times New Roman" w:hAnsi="Times New Roman" w:eastAsia="Calibri" w:cs="Times New Roman"/>
          <w:b w:val="0"/>
          <w:bCs w:val="0"/>
          <w:sz w:val="26"/>
          <w:szCs w:val="26"/>
          <w:highlight w:val="none"/>
        </w:rPr>
        <w:t xml:space="preserve">, иные заинтересованные лица, включая органы государственной власти, интересы которых будут затронуты предлагаемым правовым регулированием. Оценка их количественного состава:</w:t>
      </w:r>
      <w:r>
        <w:rPr>
          <w:b w:val="0"/>
          <w:bCs w:val="0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/>
    </w:p>
    <w:tbl>
      <w:tblPr>
        <w:tblStyle w:val="661"/>
        <w:tblpPr w:horzAnchor="margin" w:tblpXSpec="left" w:vertAnchor="text" w:tblpY="50" w:leftFromText="180" w:topFromText="0" w:rightFromText="180" w:bottomFromText="0"/>
        <w:tblW w:w="9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5665"/>
        <w:gridCol w:w="4002"/>
      </w:tblGrid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5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  <w:t xml:space="preserve">Группа участников отношений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  <w:t xml:space="preserve">Оценка количества участников отношений</w:t>
            </w:r>
            <w:r/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5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hint="default" w:ascii="Times New Roman" w:hAnsi="Times New Roman" w:eastAsia="Calibri" w:cs="Times New Roman"/>
                <w:iCs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lang w:val="ru-RU"/>
              </w:rPr>
              <w:t xml:space="preserve">Хозяйствующие субъекты, реализующие крупные инвестиционные проекты на территории Белгородской области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2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i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iCs/>
                <w:sz w:val="26"/>
                <w:szCs w:val="26"/>
                <w:highlight w:val="none"/>
              </w:rPr>
              <w:t xml:space="preserve">не менее </w:t>
            </w:r>
            <w:r>
              <w:rPr>
                <w:rFonts w:ascii="Times New Roman" w:hAnsi="Times New Roman" w:eastAsia="Calibri" w:cs="Times New Roman"/>
                <w:iCs/>
                <w:sz w:val="26"/>
                <w:szCs w:val="26"/>
                <w:highlight w:val="none"/>
                <w:lang w:val="en-US"/>
              </w:rPr>
              <w:t xml:space="preserve">43 </w:t>
            </w:r>
            <w:r>
              <w:rPr>
                <w:rFonts w:ascii="Times New Roman" w:hAnsi="Times New Roman" w:eastAsia="Calibri" w:cs="Times New Roman"/>
                <w:iCs/>
                <w:sz w:val="26"/>
                <w:szCs w:val="26"/>
                <w:highlight w:val="none"/>
              </w:rPr>
              <w:t xml:space="preserve">ед.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4.5. Оценка изменений обязательных требований, обязанностей, ограничений 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и преимуществ, ответственности за нарушение нормативных правовых актов Белгородской области, расходов и доходов, а также ожидаемых издержек и выгод </w:t>
      </w:r>
      <w:r>
        <w:rPr>
          <w:rFonts w:ascii="Times New Roman" w:hAnsi="Times New Roman" w:eastAsia="Calibri" w:cs="Times New Roman"/>
          <w:bCs/>
          <w:sz w:val="26"/>
          <w:szCs w:val="26"/>
        </w:rPr>
        <w:br/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для субъектов предпринимательской и иной экономической деятельности, интересы которых затрагиваются вводимым правовым регулированием: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tbl>
      <w:tblPr>
        <w:tblStyle w:val="661"/>
        <w:tblpPr w:horzAnchor="margin" w:tblpXSpec="left" w:vertAnchor="text" w:tblpY="69" w:leftFromText="180" w:topFromText="0" w:rightFromText="180" w:bottomFromText="0"/>
        <w:tblW w:w="9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2703"/>
        <w:gridCol w:w="4137"/>
        <w:gridCol w:w="2879"/>
      </w:tblGrid>
      <w:tr>
        <w:trPr>
          <w:trHeight w:val="13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3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i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  <w:t xml:space="preserve">Группа участников отношений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37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  <w:t xml:space="preserve">Описание новых или изменения содержания существующих обязательных требований, обязанностей, ограничений, преимуществ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79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  <w:t xml:space="preserve">Оценка изменения расходов/доходов,</w:t>
            </w:r>
            <w:r/>
          </w:p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  <w:t xml:space="preserve">издержек/выгод,</w:t>
            </w:r>
            <w:r/>
          </w:p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  <w:t xml:space="preserve">тыс. руб.</w:t>
            </w:r>
            <w:r/>
          </w:p>
        </w:tc>
      </w:tr>
      <w:tr>
        <w:trPr>
          <w:cantSplit/>
          <w:trHeight w:val="16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3" w:type="dxa"/>
            <w:vMerge w:val="restart"/>
            <w:textDirection w:val="lrTb"/>
            <w:noWrap w:val="false"/>
          </w:tcPr>
          <w:p>
            <w:pPr>
              <w:ind w:right="57"/>
              <w:jc w:val="left"/>
              <w:spacing w:after="0" w:line="240" w:lineRule="auto"/>
              <w:rPr>
                <w:rFonts w:hint="default" w:ascii="Times New Roman" w:hAnsi="Times New Roman" w:eastAsia="Calibri" w:cs="Times New Roman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lang w:val="ru-RU"/>
              </w:rPr>
              <w:t xml:space="preserve">Хозяйствующие субъекты, реализующие крупные инвестиционные проекты на территории Белгородской области </w:t>
            </w:r>
            <w:r>
              <w:rPr>
                <w:rFonts w:hint="default" w:ascii="Times New Roman" w:hAnsi="Times New Roman" w:eastAsia="Calibri" w:cs="Times New Roman"/>
                <w:iCs/>
                <w:sz w:val="26"/>
                <w:szCs w:val="26"/>
                <w:highlight w:val="none"/>
                <w:lang w:val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lang w:val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37" w:type="dxa"/>
            <w:textDirection w:val="lrTb"/>
            <w:noWrap w:val="false"/>
          </w:tcPr>
          <w:p>
            <w:pPr>
              <w:pStyle w:val="681"/>
              <w:jc w:val="left"/>
              <w:spacing w:before="0" w:beforeAutospacing="0" w:after="0" w:afterAutospacing="0"/>
              <w:rPr>
                <w:rFonts w:eastAsia="Calibri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eastAsia="Calibri"/>
                <w:b/>
                <w:bCs/>
                <w:sz w:val="26"/>
                <w:szCs w:val="26"/>
                <w:highlight w:val="none"/>
                <w:lang w:eastAsia="en-US"/>
              </w:rPr>
              <w:t xml:space="preserve">Преимущества:</w:t>
            </w:r>
            <w:r>
              <w:rPr>
                <w:highlight w:val="none"/>
              </w:rPr>
            </w:r>
            <w:r/>
          </w:p>
          <w:p>
            <w:pPr>
              <w:pStyle w:val="681"/>
              <w:jc w:val="left"/>
              <w:spacing w:before="0" w:beforeAutospacing="0" w:after="0" w:afterAutospacing="0"/>
              <w:rPr>
                <w:sz w:val="26"/>
                <w:szCs w:val="26"/>
                <w:highlight w:val="none"/>
              </w:rPr>
            </w:pPr>
            <w:r>
              <w:rPr>
                <w:rFonts w:eastAsia="Calibri"/>
                <w:bCs/>
                <w:sz w:val="26"/>
                <w:szCs w:val="26"/>
                <w:highlight w:val="none"/>
                <w:lang w:eastAsia="en-US"/>
              </w:rPr>
              <w:t xml:space="preserve">-</w:t>
            </w:r>
            <w:r>
              <w:rPr>
                <w:sz w:val="26"/>
                <w:szCs w:val="26"/>
                <w:highlight w:val="none"/>
              </w:rPr>
              <w:t xml:space="preserve"> </w:t>
            </w:r>
            <w:r>
              <w:rPr>
                <w:sz w:val="26"/>
                <w:szCs w:val="26"/>
              </w:rPr>
              <w:t xml:space="preserve">присвоение инвестиционным проектам статуса одобренных Инвестиционным советом </w:t>
            </w:r>
            <w:r>
              <w:rPr>
                <w:sz w:val="26"/>
                <w:szCs w:val="26"/>
              </w:rPr>
              <w:t xml:space="preserve">при Губернаторе Белгородской и дальнейшее </w:t>
            </w:r>
            <w:r>
              <w:rPr>
                <w:sz w:val="26"/>
                <w:szCs w:val="26"/>
              </w:rPr>
              <w:t xml:space="preserve">включение их в Стратегию социально-экономического развития Белгородской области</w:t>
            </w:r>
            <w:r>
              <w:rPr>
                <w:sz w:val="26"/>
                <w:szCs w:val="26"/>
                <w:highlight w:val="none"/>
              </w:rPr>
              <w:t xml:space="preserve">;</w:t>
            </w:r>
            <w:r>
              <w:rPr>
                <w:sz w:val="26"/>
                <w:szCs w:val="26"/>
              </w:rPr>
            </w:r>
            <w:r/>
          </w:p>
          <w:p>
            <w:pPr>
              <w:pStyle w:val="681"/>
              <w:jc w:val="left"/>
              <w:spacing w:before="0" w:beforeAutospacing="0" w:after="0" w:afterAutospacing="0"/>
              <w:rPr>
                <w:rFonts w:eastAsia="Calibri"/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- получение государственной поддержки на реализацию инвестиционных проектов.</w:t>
            </w:r>
            <w:r>
              <w:rPr>
                <w:sz w:val="26"/>
                <w:szCs w:val="26"/>
                <w:highlight w:val="none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79" w:type="dxa"/>
            <w:vAlign w:val="center"/>
            <w:vMerge w:val="restart"/>
            <w:textDirection w:val="lrTb"/>
            <w:noWrap w:val="false"/>
          </w:tcPr>
          <w:p>
            <w:pPr>
              <w:pStyle w:val="681"/>
              <w:ind w:right="-139"/>
              <w:jc w:val="center"/>
              <w:spacing w:after="0"/>
              <w:tabs>
                <w:tab w:val="center" w:pos="1404" w:leader="none"/>
              </w:tabs>
              <w:rPr>
                <w:rFonts w:eastAsia="Calibri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highlight w:val="none"/>
              </w:rPr>
            </w:r>
            <w:r/>
          </w:p>
          <w:p>
            <w:pPr>
              <w:pStyle w:val="681"/>
              <w:ind w:right="-139"/>
              <w:jc w:val="center"/>
              <w:spacing w:after="0"/>
              <w:tabs>
                <w:tab w:val="center" w:pos="1404" w:leader="none"/>
              </w:tabs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highlight w:val="none"/>
              </w:rPr>
            </w:r>
            <w:r/>
          </w:p>
          <w:p>
            <w:pPr>
              <w:pStyle w:val="681"/>
              <w:ind w:right="-139"/>
              <w:jc w:val="center"/>
              <w:spacing w:after="0"/>
              <w:tabs>
                <w:tab w:val="center" w:pos="1404" w:leader="none"/>
              </w:tabs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highlight w:val="none"/>
              </w:rPr>
            </w:r>
            <w:r/>
          </w:p>
          <w:p>
            <w:pPr>
              <w:pStyle w:val="681"/>
              <w:ind w:right="-139"/>
              <w:jc w:val="center"/>
              <w:spacing w:after="0"/>
              <w:tabs>
                <w:tab w:val="center" w:pos="1404" w:leader="none"/>
              </w:tabs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highlight w:val="none"/>
              </w:rPr>
            </w:r>
            <w:r/>
          </w:p>
          <w:p>
            <w:pPr>
              <w:pStyle w:val="681"/>
              <w:ind w:right="-139"/>
              <w:jc w:val="center"/>
              <w:spacing w:after="0"/>
              <w:tabs>
                <w:tab w:val="center" w:pos="1404" w:leader="none"/>
              </w:tabs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highlight w:val="none"/>
              </w:rPr>
            </w:r>
            <w:r/>
          </w:p>
          <w:p>
            <w:pPr>
              <w:pStyle w:val="681"/>
              <w:ind w:right="-139"/>
              <w:jc w:val="center"/>
              <w:spacing w:after="0"/>
              <w:tabs>
                <w:tab w:val="center" w:pos="1404" w:leader="none"/>
              </w:tabs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</w:r>
            <w:r>
              <w:rPr>
                <w:highlight w:val="none"/>
              </w:rPr>
            </w:r>
            <w:r/>
          </w:p>
          <w:p>
            <w:pPr>
              <w:pStyle w:val="681"/>
              <w:ind w:right="-139"/>
              <w:jc w:val="center"/>
              <w:spacing w:after="0"/>
              <w:tabs>
                <w:tab w:val="center" w:pos="1404" w:leader="none"/>
              </w:tabs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eastAsia="Calibri"/>
                <w:bCs/>
                <w:sz w:val="26"/>
                <w:szCs w:val="26"/>
                <w:highlight w:val="none"/>
                <w:lang w:eastAsia="en-US"/>
              </w:rPr>
              <w:t xml:space="preserve">Общая стоимость требования по предоставлению</w:t>
            </w:r>
            <w:r>
              <w:rPr>
                <w:highlight w:val="none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  <w:highlight w:val="none"/>
                <w:lang w:eastAsia="en-US"/>
              </w:rPr>
              <w:t xml:space="preserve">пакета документов 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1552,96 тыс. руб.</w:t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lang w:eastAsia="ru-RU"/>
              </w:rPr>
              <w:t xml:space="preserve"> </w:t>
            </w:r>
            <w:r>
              <w:rPr>
                <w:highlight w:val="none"/>
              </w:rPr>
            </w:r>
            <w:r/>
          </w:p>
        </w:tc>
      </w:tr>
      <w:tr>
        <w:trPr>
          <w:cantSplit/>
          <w:trHeight w:val="167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37" w:type="dxa"/>
            <w:textDirection w:val="lrTb"/>
            <w:noWrap w:val="false"/>
          </w:tcPr>
          <w:p>
            <w:pPr>
              <w:pStyle w:val="681"/>
              <w:spacing w:before="0" w:beforeAutospacing="0" w:after="0" w:afterAutospacing="0"/>
              <w:rPr>
                <w:rFonts w:eastAsia="Calibri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eastAsia="Calibri"/>
                <w:b/>
                <w:bCs/>
                <w:sz w:val="26"/>
                <w:szCs w:val="26"/>
                <w:highlight w:val="none"/>
                <w:lang w:eastAsia="en-US"/>
              </w:rPr>
              <w:t xml:space="preserve">Обязанности:</w:t>
            </w:r>
            <w:r>
              <w:rPr>
                <w:highlight w:val="none"/>
              </w:rPr>
            </w:r>
            <w:r/>
          </w:p>
          <w:p>
            <w:pPr>
              <w:pStyle w:val="681"/>
              <w:spacing w:before="0" w:beforeAutospacing="0" w:after="0" w:afterAutospacing="0"/>
              <w:rPr>
                <w:rFonts w:eastAsia="Calibri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eastAsia="Calibri"/>
                <w:sz w:val="26"/>
                <w:szCs w:val="26"/>
                <w:highlight w:val="none"/>
                <w:lang w:eastAsia="en-US"/>
              </w:rPr>
              <w:t xml:space="preserve">-предоставление пакета документов, необходимого для рассмотрения инвестиционного проекта на Совете.</w:t>
            </w:r>
            <w:r/>
          </w:p>
          <w:p>
            <w:pPr>
              <w:pStyle w:val="681"/>
              <w:spacing w:before="0" w:beforeAutospacing="0" w:after="0" w:afterAutospacing="0"/>
              <w:rPr>
                <w:rFonts w:eastAsia="Calibri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eastAsia="Calibri"/>
                <w:b/>
                <w:bCs/>
                <w:sz w:val="26"/>
                <w:szCs w:val="26"/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79" w:type="dxa"/>
            <w:vMerge w:val="continue"/>
            <w:textDirection w:val="lrTb"/>
            <w:noWrap w:val="false"/>
          </w:tcPr>
          <w:p>
            <w:pPr>
              <w:ind w:right="57" w:firstLine="709"/>
              <w:spacing w:after="0" w:line="240" w:lineRule="auto"/>
              <w:rPr>
                <w:rFonts w:ascii="Times New Roman" w:hAnsi="Times New Roman" w:eastAsia="Calibri" w:cs="Times New Roman"/>
                <w:iCs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eastAsia="Calibri" w:cs="Times New Roman"/>
                <w:iCs/>
                <w:sz w:val="28"/>
                <w:szCs w:val="28"/>
                <w:highlight w:val="cyan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4.6. Новые функции, полномочия, обязанности и права, а также ожидаемые издержки и выгоды органов государственной власти и органов местного самоуправления области или сведения об их изменении: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tbl>
      <w:tblPr>
        <w:tblStyle w:val="661"/>
        <w:tblpPr w:horzAnchor="margin" w:tblpXSpec="left" w:vertAnchor="text" w:tblpY="75" w:leftFromText="180" w:topFromText="0" w:rightFromText="180" w:bottomFromText="0"/>
        <w:tblW w:w="9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005"/>
        <w:gridCol w:w="3827"/>
        <w:gridCol w:w="2835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Наименование органа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Описание новых или изменения существующих функций, полномочий, обязанностей </w:t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br/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или прав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Оценка изменения трудозатрат и (или) потребностей в иных ресурсах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  <w:t xml:space="preserve">Министерство экономического развития и промышленности Белгородской области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  <w:t xml:space="preserve">Функции министерства будут осуществляться в рамках ранее установленных полномочий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Cs/>
                <w:sz w:val="26"/>
                <w:szCs w:val="26"/>
              </w:rPr>
              <w:t xml:space="preserve">Дополнительные трудозатраты                        не потребуются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4.7. Оценка расходов (возможных поступлений) консолидированного бюджета Белгородской области:*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tbl>
      <w:tblPr>
        <w:tblStyle w:val="661"/>
        <w:tblpPr w:horzAnchor="margin" w:tblpXSpec="left" w:vertAnchor="text" w:tblpY="58" w:leftFromText="180" w:topFromText="0" w:rightFromText="180" w:bottomFromText="0"/>
        <w:tblW w:w="9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435"/>
      </w:tblGrid>
      <w:tr>
        <w:trPr/>
        <w:tc>
          <w:tcPr>
            <w:tcW w:w="2830" w:type="dxa"/>
            <w:textDirection w:val="lrTb"/>
            <w:noWrap w:val="false"/>
          </w:tcPr>
          <w:p>
            <w:pPr>
              <w:ind w:left="-35" w:right="-25" w:firstLine="35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Описание новых или изменения существующих функций, полномочий, обязанностей или прав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Описание видов расходов (возможных поступлений) консолидированного бюджета Белгородской области </w:t>
            </w:r>
            <w:r/>
          </w:p>
        </w:tc>
        <w:tc>
          <w:tcPr>
            <w:tcW w:w="3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Количественная оценка расходов и возможных поступлений,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тыс. руб.</w:t>
            </w:r>
            <w:r/>
          </w:p>
        </w:tc>
      </w:tr>
      <w:tr>
        <w:trPr/>
        <w:tc>
          <w:tcPr>
            <w:tcW w:w="2830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Министерство экономического развития и промышленности Белгородской области</w:t>
            </w:r>
            <w:r>
              <w:rPr>
                <w:sz w:val="24"/>
                <w:szCs w:val="24"/>
              </w:rPr>
            </w:r>
            <w:r/>
          </w:p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4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4.8. Информация о наличии или отсутствии в проекте нормативного правового акта обязательных требований: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обязательные требования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нормативным-правововым актом не устанавливаются.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5. Риски решения проблемы предложенным способом правового регулирования и риски негативных последствий, в том числе для конкуренции, а также описание методов контроля эффективности избранного способа достижения целей регулирования: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r>
      <w:r/>
    </w:p>
    <w:tbl>
      <w:tblPr>
        <w:tblStyle w:val="661"/>
        <w:tblpPr w:horzAnchor="margin" w:tblpXSpec="left" w:vertAnchor="text" w:tblpY="189" w:leftFromText="180" w:topFromText="0" w:rightFromText="180" w:bottomFromText="0"/>
        <w:tblW w:w="9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856"/>
        <w:gridCol w:w="1951"/>
        <w:gridCol w:w="3860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Риски решения проблемы предложенным способом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и риски негативных последствий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Оценка вероятности наступления рисков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Методы контроля эффективности избранного способа достижения целей регулирования</w:t>
            </w:r>
            <w:r/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ind w:left="142" w:firstLine="0"/>
              <w:jc w:val="left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Возврат несоответствующего пакета документов заявителю без рассмотрения.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низкая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0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Проверка соответствия критериям рассматриваемых инвестиционных проектов и полноты необходимого пакета документов на этапе подачи.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6. Необходимые для достижения заявленных целей регулирования организационно-технические, методологические, информационные и иные мероприятия:*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tbl>
      <w:tblPr>
        <w:tblStyle w:val="661"/>
        <w:tblW w:w="9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248"/>
        <w:gridCol w:w="1421"/>
        <w:gridCol w:w="1559"/>
        <w:gridCol w:w="1131"/>
        <w:gridCol w:w="130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Мероприятия, необходимые для достижения целей регулирования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ind w:right="-32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Сроки реализации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Описание ожидаемого результата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1" w:type="dxa"/>
            <w:textDirection w:val="lrTb"/>
            <w:noWrap w:val="false"/>
          </w:tcPr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Объем финанси-</w:t>
            </w:r>
            <w:r/>
          </w:p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рования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textDirection w:val="lrTb"/>
            <w:noWrap w:val="false"/>
          </w:tcPr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Источники финансиро- вания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Размещение информации о принятии постановления Правительства Белгородской области в открытом доступе в сети Интернет.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202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Обращение заявителей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1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vAlign w:val="bottom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r>
            <w:r/>
          </w:p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нет</w:t>
            </w:r>
            <w:r>
              <w:rPr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Консультирование сотрудниками министерства экономического развития и промышленности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/>
              </w:rPr>
              <w:t xml:space="preserve">На постоянной основе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ind w:left="-27"/>
              <w:jc w:val="center"/>
              <w:spacing w:after="0" w:line="240" w:lineRule="auto"/>
              <w:tabs>
                <w:tab w:val="left" w:pos="426" w:leader="none"/>
              </w:tabs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Обращение заявителей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1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/>
              </w:rPr>
              <w:t xml:space="preserve">нет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ru-RU"/>
              </w:rPr>
              <w:t xml:space="preserve">нет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ind w:firstLine="709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7. Ожидаемые измеримые результаты правового регулирования:*</w:t>
      </w:r>
      <w:r/>
    </w:p>
    <w:tbl>
      <w:tblPr>
        <w:tblStyle w:val="66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827"/>
        <w:gridCol w:w="1652"/>
        <w:gridCol w:w="2171"/>
        <w:gridCol w:w="1988"/>
      </w:tblGrid>
      <w:tr>
        <w:trPr>
          <w:trHeight w:val="15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Ключевые показатели достижения целей, заявленных </w:t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br/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в предложенном регулировании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52" w:type="dxa"/>
            <w:textDirection w:val="lrTb"/>
            <w:noWrap w:val="false"/>
          </w:tcPr>
          <w:p>
            <w:pPr>
              <w:ind w:left="-113" w:right="-113" w:firstLine="108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Коли-чествнное значение ключевых показателей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Методы контроля эффективности достижения целей правового регулирования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Срок оценки достижения ключевых показателей </w:t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br/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(не более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5 лет)</w:t>
            </w:r>
            <w:r/>
          </w:p>
        </w:tc>
      </w:tr>
      <w:tr>
        <w:trPr>
          <w:trHeight w:val="127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426" w:leader="none"/>
              </w:tabs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инвестиционного проекта, одобренного Инвестиционным советом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Губернаторе Белгородской области 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/>
              </w:rPr>
              <w:t xml:space="preserve">не менее чем 1 проекту.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52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/>
              </w:rPr>
              <w:t xml:space="preserve">не менее 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1" w:type="dxa"/>
            <w:vAlign w:val="top"/>
            <w:textDirection w:val="lrTb"/>
            <w:noWrap w:val="false"/>
          </w:tcPr>
          <w:p>
            <w:pPr>
              <w:ind w:left="36" w:right="37"/>
              <w:spacing w:after="0" w:line="240" w:lineRule="auto"/>
              <w:tabs>
                <w:tab w:val="left" w:pos="426" w:leader="none"/>
                <w:tab w:val="right" w:pos="1955" w:leader="none"/>
              </w:tabs>
              <w:rPr>
                <w:rFonts w:hint="default"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Оценка результатов рассмотрения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8" w:type="dxa"/>
            <w:textDirection w:val="lrTb"/>
            <w:noWrap w:val="false"/>
          </w:tcPr>
          <w:p>
            <w:pPr>
              <w:ind w:left="-8" w:right="-131"/>
              <w:spacing w:after="0" w:line="240" w:lineRule="auto"/>
              <w:tabs>
                <w:tab w:val="left" w:pos="426" w:leader="none"/>
              </w:tabs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Декабрь 2026 г.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whit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8. Предполагаемая дата вступления в силу проекта нормативного правового акта: </w:t>
      </w:r>
      <w:r>
        <w:rPr>
          <w:rFonts w:ascii="Times New Roman" w:hAnsi="Times New Roman" w:eastAsia="Calibri" w:cs="Times New Roman"/>
          <w:bCs/>
          <w:sz w:val="26"/>
          <w:szCs w:val="26"/>
          <w:highlight w:val="white"/>
        </w:rPr>
        <w:t xml:space="preserve">.август.2026 г.</w:t>
      </w:r>
      <w:r>
        <w:rPr>
          <w:highlight w:val="white"/>
        </w:rPr>
      </w:r>
      <w:r>
        <w:rPr>
          <w:highlight w:val="white"/>
        </w:rPr>
      </w:r>
    </w:p>
    <w:sectPr>
      <w:footnotePr/>
      <w:endnotePr/>
      <w:type w:val="nextPage"/>
      <w:pgSz w:w="11906" w:h="16838" w:orient="portrait"/>
      <w:pgMar w:top="567" w:right="566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SimSun">
    <w:panose1 w:val="02000506000000020000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2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84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6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8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0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2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4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6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85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0" w:default="1">
    <w:name w:val="Normal"/>
    <w:uiPriority w:val="0"/>
    <w:qFormat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651">
    <w:name w:val="Heading 1"/>
    <w:basedOn w:val="650"/>
    <w:next w:val="650"/>
    <w:link w:val="699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2">
    <w:name w:val="Heading 2"/>
    <w:basedOn w:val="650"/>
    <w:next w:val="650"/>
    <w:link w:val="700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3">
    <w:name w:val="Heading 3"/>
    <w:basedOn w:val="650"/>
    <w:next w:val="650"/>
    <w:link w:val="70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4">
    <w:name w:val="Heading 4"/>
    <w:basedOn w:val="650"/>
    <w:next w:val="650"/>
    <w:link w:val="702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5">
    <w:name w:val="Heading 5"/>
    <w:basedOn w:val="650"/>
    <w:next w:val="650"/>
    <w:link w:val="70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6">
    <w:name w:val="Heading 6"/>
    <w:basedOn w:val="650"/>
    <w:next w:val="650"/>
    <w:link w:val="70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57">
    <w:name w:val="Heading 7"/>
    <w:basedOn w:val="650"/>
    <w:next w:val="650"/>
    <w:link w:val="70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58">
    <w:name w:val="Heading 8"/>
    <w:basedOn w:val="650"/>
    <w:next w:val="650"/>
    <w:link w:val="70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59">
    <w:name w:val="Heading 9"/>
    <w:basedOn w:val="650"/>
    <w:next w:val="650"/>
    <w:link w:val="70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0" w:default="1">
    <w:name w:val="Default Paragraph Font"/>
    <w:uiPriority w:val="1"/>
    <w:semiHidden/>
    <w:unhideWhenUsed/>
    <w:qFormat/>
  </w:style>
  <w:style w:type="table" w:styleId="661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62">
    <w:name w:val="footnote reference"/>
    <w:basedOn w:val="660"/>
    <w:uiPriority w:val="99"/>
    <w:unhideWhenUsed/>
    <w:qFormat/>
    <w:rPr>
      <w:vertAlign w:val="superscript"/>
    </w:rPr>
  </w:style>
  <w:style w:type="character" w:styleId="663">
    <w:name w:val="endnote reference"/>
    <w:basedOn w:val="660"/>
    <w:uiPriority w:val="99"/>
    <w:semiHidden/>
    <w:unhideWhenUsed/>
    <w:qFormat/>
    <w:rPr>
      <w:vertAlign w:val="superscript"/>
    </w:rPr>
  </w:style>
  <w:style w:type="character" w:styleId="664">
    <w:name w:val="Hyperlink"/>
    <w:basedOn w:val="660"/>
    <w:uiPriority w:val="99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65">
    <w:name w:val="endnote text"/>
    <w:basedOn w:val="650"/>
    <w:link w:val="844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666">
    <w:name w:val="Caption"/>
    <w:basedOn w:val="650"/>
    <w:next w:val="650"/>
    <w:uiPriority w:val="35"/>
    <w:semiHidden/>
    <w:unhideWhenUsed/>
    <w:qFormat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67">
    <w:name w:val="footnote text"/>
    <w:basedOn w:val="650"/>
    <w:link w:val="843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668">
    <w:name w:val="toc 8"/>
    <w:basedOn w:val="650"/>
    <w:next w:val="650"/>
    <w:uiPriority w:val="39"/>
    <w:unhideWhenUsed/>
    <w:qFormat/>
    <w:pPr>
      <w:ind w:left="1984"/>
      <w:spacing w:after="57"/>
    </w:pPr>
  </w:style>
  <w:style w:type="paragraph" w:styleId="669">
    <w:name w:val="Header"/>
    <w:basedOn w:val="650"/>
    <w:link w:val="857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670">
    <w:name w:val="toc 9"/>
    <w:basedOn w:val="650"/>
    <w:next w:val="650"/>
    <w:uiPriority w:val="39"/>
    <w:unhideWhenUsed/>
    <w:qFormat/>
    <w:pPr>
      <w:ind w:left="2268"/>
      <w:spacing w:after="57"/>
    </w:pPr>
  </w:style>
  <w:style w:type="paragraph" w:styleId="671">
    <w:name w:val="toc 7"/>
    <w:basedOn w:val="650"/>
    <w:next w:val="650"/>
    <w:uiPriority w:val="39"/>
    <w:unhideWhenUsed/>
    <w:qFormat/>
    <w:pPr>
      <w:ind w:left="1701"/>
      <w:spacing w:after="57"/>
    </w:pPr>
  </w:style>
  <w:style w:type="paragraph" w:styleId="672">
    <w:name w:val="toc 1"/>
    <w:basedOn w:val="650"/>
    <w:next w:val="650"/>
    <w:uiPriority w:val="39"/>
    <w:unhideWhenUsed/>
    <w:qFormat/>
    <w:pPr>
      <w:spacing w:after="57"/>
    </w:pPr>
  </w:style>
  <w:style w:type="paragraph" w:styleId="673">
    <w:name w:val="toc 6"/>
    <w:basedOn w:val="650"/>
    <w:next w:val="650"/>
    <w:uiPriority w:val="39"/>
    <w:unhideWhenUsed/>
    <w:qFormat/>
    <w:pPr>
      <w:ind w:left="1417"/>
      <w:spacing w:after="57"/>
    </w:pPr>
  </w:style>
  <w:style w:type="paragraph" w:styleId="674">
    <w:name w:val="table of figures"/>
    <w:basedOn w:val="650"/>
    <w:next w:val="650"/>
    <w:uiPriority w:val="99"/>
    <w:unhideWhenUsed/>
    <w:qFormat/>
    <w:pPr>
      <w:spacing w:after="0"/>
    </w:pPr>
  </w:style>
  <w:style w:type="paragraph" w:styleId="675">
    <w:name w:val="toc 3"/>
    <w:basedOn w:val="650"/>
    <w:next w:val="650"/>
    <w:uiPriority w:val="39"/>
    <w:unhideWhenUsed/>
    <w:qFormat/>
    <w:pPr>
      <w:ind w:left="567"/>
      <w:spacing w:after="57"/>
    </w:pPr>
  </w:style>
  <w:style w:type="paragraph" w:styleId="676">
    <w:name w:val="toc 2"/>
    <w:basedOn w:val="650"/>
    <w:next w:val="650"/>
    <w:uiPriority w:val="39"/>
    <w:unhideWhenUsed/>
    <w:qFormat/>
    <w:pPr>
      <w:ind w:left="283"/>
      <w:spacing w:after="57"/>
    </w:pPr>
  </w:style>
  <w:style w:type="paragraph" w:styleId="677">
    <w:name w:val="toc 4"/>
    <w:basedOn w:val="650"/>
    <w:next w:val="650"/>
    <w:uiPriority w:val="39"/>
    <w:unhideWhenUsed/>
    <w:qFormat/>
    <w:pPr>
      <w:ind w:left="850"/>
      <w:spacing w:after="57"/>
    </w:pPr>
  </w:style>
  <w:style w:type="paragraph" w:styleId="678">
    <w:name w:val="toc 5"/>
    <w:basedOn w:val="650"/>
    <w:next w:val="650"/>
    <w:uiPriority w:val="39"/>
    <w:unhideWhenUsed/>
    <w:qFormat/>
    <w:pPr>
      <w:ind w:left="1134"/>
      <w:spacing w:after="57"/>
    </w:pPr>
  </w:style>
  <w:style w:type="paragraph" w:styleId="679">
    <w:name w:val="Title"/>
    <w:basedOn w:val="650"/>
    <w:next w:val="650"/>
    <w:link w:val="709"/>
    <w:uiPriority w:val="10"/>
    <w:qFormat/>
    <w:pPr>
      <w:contextualSpacing/>
      <w:spacing w:before="300"/>
    </w:pPr>
    <w:rPr>
      <w:sz w:val="48"/>
      <w:szCs w:val="48"/>
    </w:rPr>
  </w:style>
  <w:style w:type="paragraph" w:styleId="680">
    <w:name w:val="Footer"/>
    <w:basedOn w:val="650"/>
    <w:link w:val="858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681">
    <w:name w:val="Normal (Web)"/>
    <w:basedOn w:val="65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2">
    <w:name w:val="Subtitle"/>
    <w:basedOn w:val="650"/>
    <w:next w:val="650"/>
    <w:link w:val="710"/>
    <w:uiPriority w:val="11"/>
    <w:qFormat/>
    <w:pPr>
      <w:spacing w:before="200"/>
    </w:pPr>
    <w:rPr>
      <w:sz w:val="24"/>
      <w:szCs w:val="24"/>
    </w:rPr>
  </w:style>
  <w:style w:type="table" w:styleId="683">
    <w:name w:val="Table Grid"/>
    <w:basedOn w:val="661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84" w:customStyle="1">
    <w:name w:val="Heading 1 Char"/>
    <w:basedOn w:val="660"/>
    <w:uiPriority w:val="9"/>
    <w:qFormat/>
    <w:rPr>
      <w:rFonts w:ascii="Arial" w:hAnsi="Arial" w:eastAsia="Arial" w:cs="Arial"/>
      <w:sz w:val="40"/>
      <w:szCs w:val="40"/>
    </w:rPr>
  </w:style>
  <w:style w:type="character" w:styleId="685" w:customStyle="1">
    <w:name w:val="Heading 2 Char"/>
    <w:basedOn w:val="660"/>
    <w:uiPriority w:val="9"/>
    <w:qFormat/>
    <w:rPr>
      <w:rFonts w:ascii="Arial" w:hAnsi="Arial" w:eastAsia="Arial" w:cs="Arial"/>
      <w:sz w:val="34"/>
    </w:rPr>
  </w:style>
  <w:style w:type="character" w:styleId="686" w:customStyle="1">
    <w:name w:val="Heading 3 Char"/>
    <w:basedOn w:val="660"/>
    <w:uiPriority w:val="9"/>
    <w:qFormat/>
    <w:rPr>
      <w:rFonts w:ascii="Arial" w:hAnsi="Arial" w:eastAsia="Arial" w:cs="Arial"/>
      <w:sz w:val="30"/>
      <w:szCs w:val="30"/>
    </w:rPr>
  </w:style>
  <w:style w:type="character" w:styleId="687" w:customStyle="1">
    <w:name w:val="Heading 4 Char"/>
    <w:basedOn w:val="660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Heading 5 Char"/>
    <w:basedOn w:val="66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Heading 6 Char"/>
    <w:basedOn w:val="66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Heading 7 Char"/>
    <w:basedOn w:val="660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Heading 8 Char"/>
    <w:basedOn w:val="660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Heading 9 Char"/>
    <w:basedOn w:val="660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93" w:customStyle="1">
    <w:name w:val="Title Char"/>
    <w:basedOn w:val="660"/>
    <w:uiPriority w:val="10"/>
    <w:qFormat/>
    <w:rPr>
      <w:sz w:val="48"/>
      <w:szCs w:val="48"/>
    </w:rPr>
  </w:style>
  <w:style w:type="character" w:styleId="694" w:customStyle="1">
    <w:name w:val="Subtitle Char"/>
    <w:basedOn w:val="660"/>
    <w:uiPriority w:val="11"/>
    <w:qFormat/>
    <w:rPr>
      <w:sz w:val="24"/>
      <w:szCs w:val="24"/>
    </w:rPr>
  </w:style>
  <w:style w:type="character" w:styleId="695" w:customStyle="1">
    <w:name w:val="Quote Char"/>
    <w:uiPriority w:val="29"/>
    <w:qFormat/>
    <w:rPr>
      <w:i/>
    </w:rPr>
  </w:style>
  <w:style w:type="character" w:styleId="696" w:customStyle="1">
    <w:name w:val="Intense Quote Char"/>
    <w:uiPriority w:val="30"/>
    <w:qFormat/>
    <w:rPr>
      <w:i/>
    </w:rPr>
  </w:style>
  <w:style w:type="character" w:styleId="697" w:customStyle="1">
    <w:name w:val="Footnote Text Char"/>
    <w:uiPriority w:val="99"/>
    <w:qFormat/>
    <w:rPr>
      <w:sz w:val="18"/>
    </w:rPr>
  </w:style>
  <w:style w:type="character" w:styleId="698" w:customStyle="1">
    <w:name w:val="Endnote Text Char"/>
    <w:uiPriority w:val="99"/>
    <w:qFormat/>
    <w:rPr>
      <w:sz w:val="20"/>
    </w:rPr>
  </w:style>
  <w:style w:type="character" w:styleId="699" w:customStyle="1">
    <w:name w:val="Заголовок 1 Знак"/>
    <w:basedOn w:val="660"/>
    <w:link w:val="651"/>
    <w:uiPriority w:val="9"/>
    <w:qFormat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basedOn w:val="660"/>
    <w:link w:val="652"/>
    <w:uiPriority w:val="9"/>
    <w:qFormat/>
    <w:rPr>
      <w:rFonts w:ascii="Arial" w:hAnsi="Arial" w:eastAsia="Arial" w:cs="Arial"/>
      <w:sz w:val="34"/>
    </w:rPr>
  </w:style>
  <w:style w:type="character" w:styleId="701" w:customStyle="1">
    <w:name w:val="Заголовок 3 Знак"/>
    <w:basedOn w:val="660"/>
    <w:link w:val="653"/>
    <w:uiPriority w:val="9"/>
    <w:qFormat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basedOn w:val="660"/>
    <w:link w:val="65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basedOn w:val="660"/>
    <w:link w:val="65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60"/>
    <w:link w:val="65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60"/>
    <w:link w:val="65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60"/>
    <w:link w:val="65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60"/>
    <w:link w:val="659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709" w:customStyle="1">
    <w:name w:val="Заголовок Знак"/>
    <w:basedOn w:val="660"/>
    <w:link w:val="679"/>
    <w:uiPriority w:val="10"/>
    <w:qFormat/>
    <w:rPr>
      <w:sz w:val="48"/>
      <w:szCs w:val="48"/>
    </w:rPr>
  </w:style>
  <w:style w:type="character" w:styleId="710" w:customStyle="1">
    <w:name w:val="Подзаголовок Знак"/>
    <w:basedOn w:val="660"/>
    <w:link w:val="682"/>
    <w:uiPriority w:val="11"/>
    <w:qFormat/>
    <w:rPr>
      <w:sz w:val="24"/>
      <w:szCs w:val="24"/>
    </w:rPr>
  </w:style>
  <w:style w:type="paragraph" w:styleId="711">
    <w:name w:val="Quote"/>
    <w:basedOn w:val="650"/>
    <w:next w:val="650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qFormat/>
    <w:rPr>
      <w:i/>
    </w:rPr>
  </w:style>
  <w:style w:type="paragraph" w:styleId="713">
    <w:name w:val="Intense Quote"/>
    <w:basedOn w:val="650"/>
    <w:next w:val="650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qFormat/>
    <w:rPr>
      <w:i/>
    </w:rPr>
  </w:style>
  <w:style w:type="character" w:styleId="715" w:customStyle="1">
    <w:name w:val="Header Char"/>
    <w:basedOn w:val="660"/>
    <w:uiPriority w:val="99"/>
    <w:qFormat/>
  </w:style>
  <w:style w:type="character" w:styleId="716" w:customStyle="1">
    <w:name w:val="Footer Char"/>
    <w:basedOn w:val="660"/>
    <w:uiPriority w:val="99"/>
    <w:qFormat/>
  </w:style>
  <w:style w:type="character" w:styleId="717" w:customStyle="1">
    <w:name w:val="Caption Char"/>
    <w:uiPriority w:val="99"/>
    <w:qFormat/>
  </w:style>
  <w:style w:type="table" w:styleId="718" w:customStyle="1">
    <w:name w:val="Table Grid Light"/>
    <w:basedOn w:val="661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styleId="719" w:customStyle="1">
    <w:name w:val="Plain Table 1"/>
    <w:basedOn w:val="661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 w:customStyle="1">
    <w:name w:val="Plain Table 2"/>
    <w:basedOn w:val="661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 w:customStyle="1">
    <w:name w:val="Plain Table 3"/>
    <w:basedOn w:val="661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 w:customStyle="1">
    <w:name w:val="Plain Table 4"/>
    <w:basedOn w:val="661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Plain Table 5"/>
    <w:basedOn w:val="661"/>
    <w:uiPriority w:val="99"/>
    <w:qFormat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1 Light"/>
    <w:basedOn w:val="661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61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61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61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61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61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61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2"/>
    <w:basedOn w:val="661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61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B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B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61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7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61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61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61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61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"/>
    <w:basedOn w:val="661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61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61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61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61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61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61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4"/>
    <w:basedOn w:val="661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61"/>
    <w:uiPriority w:val="5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bc2" w:themeColor="accent1" w:themeTint="EA" w:fill="5d8bc2" w:themeFill="accent1" w:themeFillTint="EA"/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</w:style>
  <w:style w:type="table" w:styleId="747" w:customStyle="1">
    <w:name w:val="Grid Table 4 - Accent 2"/>
    <w:basedOn w:val="661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</w:style>
  <w:style w:type="table" w:styleId="748" w:customStyle="1">
    <w:name w:val="Grid Table 4 - Accent 3"/>
    <w:basedOn w:val="661"/>
    <w:uiPriority w:val="5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themeTint="FE" w:fill="9bbb59" w:themeFill="accent3" w:themeFillTint="FE"/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</w:style>
  <w:style w:type="table" w:styleId="749" w:customStyle="1">
    <w:name w:val="Grid Table 4 - Accent 4"/>
    <w:basedOn w:val="661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61"/>
    <w:uiPriority w:val="5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61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 w:customStyle="1">
    <w:name w:val="Grid Table 5 Dark"/>
    <w:basedOn w:val="661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61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5e0" w:themeColor="accent1" w:themeTint="75" w:fill="aec5e0" w:themeFill="accent1" w:themeFillTint="75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61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61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1dfb2" w:themeColor="accent3" w:themeTint="75" w:fill="d1dfb2" w:themeFill="accent3" w:themeFillTint="75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61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61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61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6 Colorful"/>
    <w:basedOn w:val="661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60" w:customStyle="1">
    <w:name w:val="Grid Table 6 Colorful - Accent 1"/>
    <w:basedOn w:val="661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61" w:customStyle="1">
    <w:name w:val="Grid Table 6 Colorful - Accent 2"/>
    <w:basedOn w:val="661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62" w:customStyle="1">
    <w:name w:val="Grid Table 6 Colorful - Accent 3"/>
    <w:basedOn w:val="661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763" w:customStyle="1">
    <w:name w:val="Grid Table 6 Colorful - Accent 4"/>
    <w:basedOn w:val="661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64" w:customStyle="1">
    <w:name w:val="Grid Table 6 Colorful - Accent 5"/>
    <w:basedOn w:val="661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765" w:customStyle="1">
    <w:name w:val="Grid Table 6 Colorful - Accent 6"/>
    <w:basedOn w:val="661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766" w:customStyle="1">
    <w:name w:val="Grid Table 7 Colorful"/>
    <w:basedOn w:val="661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61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61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61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themeTint="FE" w:sz="4" w:space="0"/>
        </w:tcBorders>
      </w:tcPr>
    </w:tblStyle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B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61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61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firstCol">
      <w:rPr>
        <w:rFonts w:ascii="Arial" w:hAnsi="Arial"/>
        <w:i/>
        <w:color w:val="266778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8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61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firstCol">
      <w:rPr>
        <w:rFonts w:ascii="Arial" w:hAnsi="Arial"/>
        <w:i/>
        <w:color w:val="b05408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05408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"/>
    <w:basedOn w:val="661"/>
    <w:uiPriority w:val="99"/>
    <w:qFormat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61"/>
    <w:uiPriority w:val="99"/>
    <w:qFormat/>
    <w:pPr>
      <w:spacing w:after="0" w:line="240" w:lineRule="auto"/>
    </w:pPr>
    <w:tblPr/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61"/>
    <w:uiPriority w:val="99"/>
    <w:qFormat/>
    <w:pPr>
      <w:spacing w:after="0" w:line="240" w:lineRule="auto"/>
    </w:pPr>
    <w:tblPr/>
    <w:tblStylePr w:type="band1Horz"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61"/>
    <w:uiPriority w:val="99"/>
    <w:qFormat/>
    <w:pPr>
      <w:spacing w:after="0" w:line="240" w:lineRule="auto"/>
    </w:pPr>
    <w:tblPr/>
    <w:tblStylePr w:type="band1Horz"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61"/>
    <w:uiPriority w:val="99"/>
    <w:qFormat/>
    <w:pPr>
      <w:spacing w:after="0" w:line="240" w:lineRule="auto"/>
    </w:pPr>
    <w:tblPr/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61"/>
    <w:uiPriority w:val="99"/>
    <w:qFormat/>
    <w:pPr>
      <w:spacing w:after="0" w:line="240" w:lineRule="auto"/>
    </w:pPr>
    <w:tblPr/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61"/>
    <w:uiPriority w:val="99"/>
    <w:qFormat/>
    <w:pPr>
      <w:spacing w:after="0" w:line="240" w:lineRule="auto"/>
    </w:pPr>
    <w:tblPr/>
    <w:tblStylePr w:type="band1Horz"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2"/>
    <w:basedOn w:val="661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61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61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61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61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61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61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 w:customStyle="1">
    <w:name w:val="List Table 3"/>
    <w:basedOn w:val="661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61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61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61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61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61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61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"/>
    <w:basedOn w:val="661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61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61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61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61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61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61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5 Dark"/>
    <w:basedOn w:val="661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2" w:customStyle="1">
    <w:name w:val="List Table 5 Dark - Accent 1"/>
    <w:basedOn w:val="661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3" w:customStyle="1">
    <w:name w:val="List Table 5 Dark - Accent 2"/>
    <w:basedOn w:val="661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band1Horz"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795" w:themeColor="accent2" w:themeTint="97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4" w:customStyle="1">
    <w:name w:val="List Table 5 Dark - Accent 3"/>
    <w:basedOn w:val="661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band1Horz"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c" w:themeColor="accent3" w:themeTint="98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3d69c" w:themeColor="accent3" w:themeTint="98" w:fill="c3d69c" w:themeFill="accent3" w:themeFillTint="98"/>
        <w:tcBorders>
          <w:top w:val="single" w:color="C3D69C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5" w:customStyle="1">
    <w:name w:val="List Table 5 Dark - Accent 4"/>
    <w:basedOn w:val="661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6" w:customStyle="1">
    <w:name w:val="List Table 5 Dark - Accent 5"/>
    <w:basedOn w:val="661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7" w:customStyle="1">
    <w:name w:val="List Table 5 Dark - Accent 6"/>
    <w:basedOn w:val="661"/>
    <w:uiPriority w:val="99"/>
    <w:qFormat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8" w:customStyle="1">
    <w:name w:val="List Table 6 Colorful"/>
    <w:basedOn w:val="661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809" w:customStyle="1">
    <w:name w:val="List Table 6 Colorful - Accent 1"/>
    <w:basedOn w:val="661"/>
    <w:uiPriority w:val="99"/>
    <w:qFormat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firstCol">
      <w:rPr>
        <w:b/>
        <w:color w:val="2a4b71" w:themeColor="accent1" w:themeShade="94"/>
      </w:rPr>
    </w:tblStyle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4"/>
      </w:r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61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</w:style>
  <w:style w:type="table" w:styleId="811" w:customStyle="1">
    <w:name w:val="List Table 6 Colorful - Accent 3"/>
    <w:basedOn w:val="661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</w:style>
  <w:style w:type="table" w:styleId="812" w:customStyle="1">
    <w:name w:val="List Table 6 Colorful - Accent 4"/>
    <w:basedOn w:val="661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61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61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</w:style>
  <w:style w:type="table" w:styleId="815" w:customStyle="1">
    <w:name w:val="List Table 7 Colorful"/>
    <w:basedOn w:val="661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61"/>
    <w:uiPriority w:val="99"/>
    <w:qFormat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firstCol">
      <w:rPr>
        <w:rFonts w:ascii="Arial" w:hAnsi="Arial"/>
        <w:i/>
        <w:color w:val="2a4b71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61"/>
    <w:uiPriority w:val="99"/>
    <w:qFormat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61"/>
    <w:uiPriority w:val="99"/>
    <w:qFormat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C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3D69C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3D69C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61"/>
    <w:uiPriority w:val="99"/>
    <w:qFormat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61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61"/>
    <w:uiPriority w:val="99"/>
    <w:qFormat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23" w:customStyle="1">
    <w:name w:val="Lined - Accent 1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</w:style>
  <w:style w:type="table" w:styleId="824" w:customStyle="1">
    <w:name w:val="Lined - Accent 2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</w:style>
  <w:style w:type="table" w:styleId="825" w:customStyle="1">
    <w:name w:val="Lined - Accent 3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</w:style>
  <w:style w:type="table" w:styleId="826" w:customStyle="1">
    <w:name w:val="Lined - Accent 4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30" w:customStyle="1">
    <w:name w:val="Bordered &amp; Lined - Accent 1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</w:style>
  <w:style w:type="table" w:styleId="831" w:customStyle="1">
    <w:name w:val="Bordered &amp; Lined - Accent 2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</w:style>
  <w:style w:type="table" w:styleId="832" w:customStyle="1">
    <w:name w:val="Bordered &amp; Lined - Accent 3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</w:style>
  <w:style w:type="table" w:styleId="833" w:customStyle="1">
    <w:name w:val="Bordered &amp; Lined - Accent 4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61"/>
    <w:uiPriority w:val="99"/>
    <w:qFormat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61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37" w:customStyle="1">
    <w:name w:val="Bordered - Accent 1"/>
    <w:basedOn w:val="661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61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</w:style>
  <w:style w:type="table" w:styleId="839" w:customStyle="1">
    <w:name w:val="Bordered - Accent 3"/>
    <w:basedOn w:val="661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</w:style>
  <w:style w:type="table" w:styleId="840" w:customStyle="1">
    <w:name w:val="Bordered - Accent 4"/>
    <w:basedOn w:val="661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61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61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 w:customStyle="1">
    <w:name w:val="Текст сноски Знак"/>
    <w:link w:val="667"/>
    <w:uiPriority w:val="99"/>
    <w:qFormat/>
    <w:rPr>
      <w:sz w:val="18"/>
    </w:rPr>
  </w:style>
  <w:style w:type="character" w:styleId="844" w:customStyle="1">
    <w:name w:val="Текст концевой сноски Знак"/>
    <w:link w:val="665"/>
    <w:uiPriority w:val="99"/>
    <w:qFormat/>
    <w:rPr>
      <w:sz w:val="20"/>
    </w:rPr>
  </w:style>
  <w:style w:type="paragraph" w:styleId="845" w:customStyle="1">
    <w:name w:val="TOC Heading"/>
    <w:uiPriority w:val="39"/>
    <w:unhideWhenUsed/>
    <w:qFormat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846" w:customStyle="1">
    <w:name w:val="ConsPlusNormal"/>
    <w:uiPriority w:val="0"/>
    <w:qFormat/>
    <w:pPr>
      <w:spacing w:before="0" w:beforeAutospacing="0" w:after="0" w:afterAutospacing="0" w:line="240" w:lineRule="auto"/>
      <w:widowControl w:val="off"/>
    </w:pPr>
    <w:rPr>
      <w:rFonts w:hint="default" w:ascii="Calibri" w:hAnsi="Calibri" w:eastAsia="Times New Roman" w:cs="Calibri"/>
      <w:sz w:val="22"/>
      <w:szCs w:val="20"/>
      <w:lang w:val="ru-RU" w:eastAsia="ru-RU" w:bidi="ar-SA"/>
    </w:rPr>
  </w:style>
  <w:style w:type="paragraph" w:styleId="847" w:customStyle="1">
    <w:name w:val="ConsPlusNonformat"/>
    <w:uiPriority w:val="0"/>
    <w:qFormat/>
    <w:pPr>
      <w:spacing w:before="0" w:beforeAutospacing="0" w:after="0" w:afterAutospacing="0" w:line="240" w:lineRule="auto"/>
      <w:widowControl w:val="off"/>
    </w:pPr>
    <w:rPr>
      <w:rFonts w:hint="default" w:ascii="Courier New" w:hAnsi="Courier New" w:eastAsia="Times New Roman" w:cs="Courier New"/>
      <w:sz w:val="20"/>
      <w:szCs w:val="20"/>
      <w:lang w:val="ru-RU" w:eastAsia="ru-RU" w:bidi="ar-SA"/>
    </w:rPr>
  </w:style>
  <w:style w:type="paragraph" w:styleId="848" w:customStyle="1">
    <w:name w:val="ConsPlusTitle"/>
    <w:uiPriority w:val="0"/>
    <w:qFormat/>
    <w:pPr>
      <w:spacing w:before="0" w:beforeAutospacing="0" w:after="0" w:afterAutospacing="0" w:line="240" w:lineRule="auto"/>
      <w:widowControl w:val="off"/>
    </w:pPr>
    <w:rPr>
      <w:rFonts w:hint="default" w:ascii="Calibri" w:hAnsi="Calibri" w:eastAsia="Times New Roman" w:cs="Calibri"/>
      <w:b/>
      <w:sz w:val="22"/>
      <w:szCs w:val="20"/>
      <w:lang w:val="ru-RU" w:eastAsia="ru-RU" w:bidi="ar-SA"/>
    </w:rPr>
  </w:style>
  <w:style w:type="paragraph" w:styleId="849" w:customStyle="1">
    <w:name w:val="ConsPlusCell"/>
    <w:uiPriority w:val="0"/>
    <w:qFormat/>
    <w:pPr>
      <w:spacing w:before="0" w:beforeAutospacing="0" w:after="0" w:afterAutospacing="0" w:line="240" w:lineRule="auto"/>
      <w:widowControl w:val="off"/>
    </w:pPr>
    <w:rPr>
      <w:rFonts w:hint="default" w:ascii="Courier New" w:hAnsi="Courier New" w:eastAsia="Times New Roman" w:cs="Courier New"/>
      <w:sz w:val="20"/>
      <w:szCs w:val="20"/>
      <w:lang w:val="ru-RU" w:eastAsia="ru-RU" w:bidi="ar-SA"/>
    </w:rPr>
  </w:style>
  <w:style w:type="paragraph" w:styleId="850" w:customStyle="1">
    <w:name w:val="ConsPlusDocList"/>
    <w:uiPriority w:val="0"/>
    <w:qFormat/>
    <w:pPr>
      <w:spacing w:before="0" w:beforeAutospacing="0" w:after="0" w:afterAutospacing="0" w:line="240" w:lineRule="auto"/>
      <w:widowControl w:val="off"/>
    </w:pPr>
    <w:rPr>
      <w:rFonts w:hint="default" w:ascii="Calibri" w:hAnsi="Calibri" w:eastAsia="Times New Roman" w:cs="Calibri"/>
      <w:sz w:val="22"/>
      <w:szCs w:val="20"/>
      <w:lang w:val="ru-RU" w:eastAsia="ru-RU" w:bidi="ar-SA"/>
    </w:rPr>
  </w:style>
  <w:style w:type="paragraph" w:styleId="851" w:customStyle="1">
    <w:name w:val="ConsPlusTitlePage"/>
    <w:uiPriority w:val="0"/>
    <w:qFormat/>
    <w:pPr>
      <w:spacing w:before="0" w:beforeAutospacing="0" w:after="0" w:afterAutospacing="0" w:line="240" w:lineRule="auto"/>
      <w:widowControl w:val="off"/>
    </w:pPr>
    <w:rPr>
      <w:rFonts w:hint="default" w:ascii="Tahoma" w:hAnsi="Tahoma" w:eastAsia="Times New Roman" w:cs="Tahoma"/>
      <w:sz w:val="20"/>
      <w:szCs w:val="20"/>
      <w:lang w:val="ru-RU" w:eastAsia="ru-RU" w:bidi="ar-SA"/>
    </w:rPr>
  </w:style>
  <w:style w:type="paragraph" w:styleId="852" w:customStyle="1">
    <w:name w:val="ConsPlusJurTerm"/>
    <w:uiPriority w:val="0"/>
    <w:qFormat/>
    <w:pPr>
      <w:spacing w:before="0" w:beforeAutospacing="0" w:after="0" w:afterAutospacing="0" w:line="240" w:lineRule="auto"/>
      <w:widowControl w:val="off"/>
    </w:pPr>
    <w:rPr>
      <w:rFonts w:hint="default" w:ascii="Tahoma" w:hAnsi="Tahoma" w:eastAsia="Times New Roman" w:cs="Tahoma"/>
      <w:sz w:val="26"/>
      <w:szCs w:val="20"/>
      <w:lang w:val="ru-RU" w:eastAsia="ru-RU" w:bidi="ar-SA"/>
    </w:rPr>
  </w:style>
  <w:style w:type="paragraph" w:styleId="853" w:customStyle="1">
    <w:name w:val="ConsPlusTextList"/>
    <w:uiPriority w:val="0"/>
    <w:qFormat/>
    <w:pPr>
      <w:spacing w:before="0" w:beforeAutospacing="0" w:after="0" w:afterAutospacing="0" w:line="240" w:lineRule="auto"/>
      <w:widowControl w:val="off"/>
    </w:pPr>
    <w:rPr>
      <w:rFonts w:hint="default" w:ascii="Arial" w:hAnsi="Arial" w:eastAsia="Times New Roman" w:cs="Arial"/>
      <w:sz w:val="20"/>
      <w:szCs w:val="20"/>
      <w:lang w:val="ru-RU" w:eastAsia="ru-RU" w:bidi="ar-SA"/>
    </w:rPr>
  </w:style>
  <w:style w:type="paragraph" w:styleId="854" w:customStyle="1">
    <w:name w:val="Знак"/>
    <w:basedOn w:val="650"/>
    <w:uiPriority w:val="0"/>
    <w:qFormat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855" w:customStyle="1">
    <w:name w:val="Знак1"/>
    <w:basedOn w:val="650"/>
    <w:uiPriority w:val="0"/>
    <w:qFormat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856">
    <w:name w:val="List Paragraph"/>
    <w:basedOn w:val="650"/>
    <w:uiPriority w:val="34"/>
    <w:qFormat/>
    <w:pPr>
      <w:contextualSpacing/>
      <w:ind w:left="720"/>
    </w:pPr>
  </w:style>
  <w:style w:type="character" w:styleId="857" w:customStyle="1">
    <w:name w:val="Верхний колонтитул Знак"/>
    <w:basedOn w:val="660"/>
    <w:link w:val="669"/>
    <w:uiPriority w:val="99"/>
    <w:qFormat/>
  </w:style>
  <w:style w:type="character" w:styleId="858" w:customStyle="1">
    <w:name w:val="Нижний колонтитул Знак"/>
    <w:basedOn w:val="660"/>
    <w:link w:val="680"/>
    <w:uiPriority w:val="99"/>
    <w:qFormat/>
  </w:style>
  <w:style w:type="character" w:styleId="859" w:customStyle="1">
    <w:name w:val="Unresolved Mention"/>
    <w:basedOn w:val="660"/>
    <w:uiPriority w:val="99"/>
    <w:semiHidden/>
    <w:unhideWhenUsed/>
    <w:qFormat/>
    <w:rPr>
      <w:color w:val="605e5c"/>
      <w:shd w:val="clear" w:color="auto" w:fill="e1dfdd"/>
    </w:rPr>
  </w:style>
  <w:style w:type="numbering" w:styleId="86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Сорочинская И. Л.</dc:creator>
  <cp:revision>27</cp:revision>
  <dcterms:created xsi:type="dcterms:W3CDTF">2024-02-17T03:00:00Z</dcterms:created>
  <dcterms:modified xsi:type="dcterms:W3CDTF">2026-07-09T08:54:55Z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